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6E" w:rsidRDefault="00983764" w:rsidP="00983764">
      <w:pPr>
        <w:widowControl w:val="0"/>
        <w:spacing w:after="0" w:line="240" w:lineRule="exact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983764" w:rsidRDefault="00983764" w:rsidP="00983764">
      <w:pPr>
        <w:widowControl w:val="0"/>
        <w:spacing w:after="0" w:line="240" w:lineRule="exact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983764" w:rsidRDefault="00983764" w:rsidP="00983764">
      <w:pPr>
        <w:widowControl w:val="0"/>
        <w:spacing w:after="0" w:line="240" w:lineRule="exact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 Ставропольского края</w:t>
      </w:r>
    </w:p>
    <w:bookmarkEnd w:id="0"/>
    <w:p w:rsidR="00983764" w:rsidRDefault="00B901A6" w:rsidP="00983764">
      <w:pPr>
        <w:widowControl w:val="0"/>
        <w:spacing w:after="0" w:line="240" w:lineRule="exact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04 мая 2026 г. № 508</w:t>
      </w:r>
    </w:p>
    <w:p w:rsidR="00983764" w:rsidRDefault="00983764" w:rsidP="0098376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3764" w:rsidRDefault="00983764" w:rsidP="0098376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3764" w:rsidRPr="0065736E" w:rsidRDefault="00983764" w:rsidP="0098376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736E" w:rsidRPr="0065736E" w:rsidRDefault="0065736E" w:rsidP="00983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65736E" w:rsidRPr="0065736E" w:rsidRDefault="0065736E" w:rsidP="00983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9D0AAA" w:rsidP="0098376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корректировки С</w:t>
      </w:r>
      <w:r w:rsidR="0065736E"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тратегии социально-экономического</w:t>
      </w:r>
      <w:r w:rsidR="0098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36E"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Шпаковского муниципального округа Ставропольского края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</w:t>
      </w:r>
      <w:r w:rsidRPr="0065736E">
        <w:rPr>
          <w:rFonts w:ascii="Times New Roman" w:eastAsia="Calibri" w:hAnsi="Times New Roman" w:cs="Times New Roman"/>
          <w:sz w:val="28"/>
          <w:szCs w:val="28"/>
        </w:rPr>
        <w:t>разработки и корректировки Стратегии социально-экономического развития Шпаковского муниципального округа Ставропольского края (далее – Порядок) разработан в соответствии с Федеральным законом от 28 июля 2014 г</w:t>
      </w:r>
      <w:r w:rsidR="00983764">
        <w:rPr>
          <w:rFonts w:ascii="Times New Roman" w:eastAsia="Calibri" w:hAnsi="Times New Roman" w:cs="Times New Roman"/>
          <w:sz w:val="28"/>
          <w:szCs w:val="28"/>
        </w:rPr>
        <w:t>ода</w:t>
      </w:r>
      <w:r w:rsidRPr="0065736E">
        <w:rPr>
          <w:rFonts w:ascii="Times New Roman" w:eastAsia="Calibri" w:hAnsi="Times New Roman" w:cs="Times New Roman"/>
          <w:sz w:val="28"/>
          <w:szCs w:val="28"/>
        </w:rPr>
        <w:t xml:space="preserve"> № 172-ФЗ «О стратегическом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планировании в Российской Федерации» (далее – Федеральный закон), Законом Ставропольского кр</w:t>
      </w:r>
      <w:r w:rsidR="0098376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от 10 апреля 2017 года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31-кз </w:t>
      </w:r>
      <w:r w:rsidRPr="0065736E">
        <w:rPr>
          <w:rFonts w:ascii="Times New Roman" w:eastAsia="Calibri" w:hAnsi="Times New Roman" w:cs="Times New Roman"/>
          <w:sz w:val="28"/>
          <w:szCs w:val="28"/>
        </w:rPr>
        <w:t>«О стратегическом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планировании в Ставропольском крае» и определяет механизм разработки, корректировки, осуществления мониторинга и контроля реализации Стратегии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Стратегия).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и термины, используемые в настоящем Порядке, применяются в значениях, установленных Федеральным </w:t>
      </w:r>
      <w:hyperlink r:id="rId6" w:history="1">
        <w:r w:rsidRPr="006573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Стратегия – документ стратегического планирования, определяющий приоритеты, цели и задачи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 Ставропольского края (далее – ШМО СК)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долгосрочный период.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и корректировка Стратегии осуществляются при методическом содействии министерства экономического развития Ставропольского края, осуществляющего функции по выработке и реализации государственной политики и нормативно-правовому регулированию в сфере социально-экономического развития муниципальных образований Ставропольского края.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Стратегия является основой для разработки муниципальных программ ШМО СК, схемы территориального планирования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плана мероприятий по реализации Стратегии.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Стратегия разрабатывается на период, не превышающий периода, на который разрабатывается прогноз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долгосрочный период, в целях определения приоритетов, целей и задач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согласованных с приоритетами и целями социально-экономического развития Российской Федерации, Ставропольского края и корректируется по мере необходимости.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Содержание Стратегии определяется Федеральным </w:t>
      </w:r>
      <w:hyperlink r:id="rId7" w:history="1">
        <w:r w:rsidRPr="006573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Разработка Стратегии осуществляется каждые 6 лет. Дата начала разработки Стратегии определяется постановлением </w:t>
      </w:r>
      <w:r w:rsidR="009D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  <w:r w:rsidRPr="0065736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Ставропольского края (далее – администрация ШМО СК)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AAA" w:rsidRPr="0065736E" w:rsidRDefault="009D0AAA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Участниками разработки и корректировки Стратегии являются: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комитет по экономике, торговле, туризму и профилактике административных правонарушений администрации ШМО СК (далее – комитет);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структурные подразделения администрации ШМО СК (далее – структурные подразделения);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иные организации Ставропольского края и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законодательством Российской Федерации (далее – участники разработки и корректировки Стратегии).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9. К разработке и корректировке Стратегии, при необходимости, привлекаются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 (далее – эксперты).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Стратегия и е</w:t>
      </w:r>
      <w:r w:rsidR="009837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корректировка путем внесения изменений в Стратегию (далее – корректировка) утверждается решением Думы Шпаковского муниципального округа Ставропольского края (далее – Дума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СК)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Координация и организация процесса разработки, корректировки и реализации Стратегии осуществляется комитетом (далее – уполномоченный орган).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Мониторинг и контроль реализации Стратегии осуществляется уполномоченным органом.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Уполномоченный орган: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разработку проекта Стратегии и подготавливает предложения по корректировке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организует согласование проекта Стратегии с министерством экономического развития Ставропольского края в порядке и сроки, установленные министерством экономического развития Ставропольского края;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привлекает экспертов к разработке и корректировке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проводит общественное обсуждение проекта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рассматривает предложения экспертов по разработке и корректировке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подготавливает проект решения Думы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Стратегии или е</w:t>
      </w:r>
      <w:r w:rsidR="009837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корректировке.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Структурные подразделения: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пределах своей компетенции принимают участие в разработке и корректировке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представляют в уполномоченный орган информацию, необходимую для разработки и корректировки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запрашивают у структурных подразделений администрации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юридических лиц, ведущих государственную статистическую отчетность, и экспертов информацию, необходимую для разработки и корректировки Стратегии.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Основными этапами разработки Стратегии являются: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проведение анализа и синтеза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определение приоритетов, целей, задач и направлений социально-экономической политики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приоритетов, целей и задач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разработка механизмов реализации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общественного обсуждения проекта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утверждение Стратегии.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8"/>
      <w:bookmarkEnd w:id="1"/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На этапе проведения анализа и синтеза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проводит: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анализ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предшествующий период в соответствующей сфере деятельности;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объективную оценку социально-экономического положения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(особенности и ключевые процессы текущего этапа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характеристика принципиальных особенностей географического положения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общая характеристика населения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анализ природных ресурсов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обобщенный анализ экономического состояния в основных видах деятельности, инфраструктурной и социальной сферах, сфере управления);</w:t>
      </w:r>
    </w:p>
    <w:p w:rsidR="0065736E" w:rsidRPr="0065736E" w:rsidRDefault="0065736E" w:rsidP="009837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оценку конкурентных преимуществ и потенциала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природоресурсного, трудового, производственного, инфраструктурного, научного и финансового (выделение устойчиво действующих (из прошлого в будущее) факторов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факторы развития округа); соотнесение факторов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 и выделение среди них ключевых факторов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выделение совокупности сильных и слабых сторон внутреннего и внешнего проявления ключевых факторов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СК;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соотнесение выделенных сильных и слабых сторон внутреннего и внешнего проявления совокупности ключевых факторов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анализ проблем в экономике и социальной сфере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73"/>
      <w:bookmarkEnd w:id="2"/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На этапе определения приоритетов, целей, задач и направлений социально-экономической политики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приоритетов, целей и задач 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разработки механизмов реализации Стратегии уполномоченный орган проводит обсуждение целей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участников разработки и корректировки Стратегии, экспертов в порядке, устанавливаемом уполномоченным органом, и по итогам обсуждения определяет: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приоритеты, цели, задачи и направления социально-экономической политики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приоритеты и цели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показатели достижения целей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задачи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реализацию целей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реализации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основные направления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реализации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перечень муниципальных программ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реализации Стратегии в соответствии с приоритетами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реализации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перечень приоритетных проектов (стратегических инициатив), направленных на достижение целей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подлежащих включению в муниципальные программы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их основных мероприятий (подпрограмм);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цели муниципальных программ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задачам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период реализации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индикаторы достижения целей муниципальных программ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объемы финансовых ресурсов, необходимых для реализации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сроки и этапы реализации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ожидаемые результаты реализации Стратегии.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Уполномоченный орган осуществляет разработку проекта Стратегии на основании информации, указанной в </w:t>
      </w:r>
      <w:hyperlink r:id="rId8" w:history="1">
        <w:r w:rsidRPr="006573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16</w:t>
        </w:r>
      </w:hyperlink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6573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</w:t>
        </w:r>
      </w:hyperlink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срок, не превышающий 10 месяцев с даты определения начала разработки Стратегии.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D0A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19. Разработанный уполномоченным органом проект Стратегии направляется участникам разработки и корректировки Стратегии, экспертам для внесения замечаний и предложений.</w:t>
      </w:r>
    </w:p>
    <w:p w:rsidR="0065736E" w:rsidRPr="0065736E" w:rsidRDefault="0065736E" w:rsidP="009D0A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разработки и корректировки Стратегии, эксперты в пределах своей компетенции представляют в уполномоченный орган замечания и предложения к проекту Стратегии в срок не позднее 30 календарных дней со дня получения проекта Стратегии от уполномоченного органа.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20. Уполномоченный орган в месячный срок дорабатывает проект Стратегии с учетом замечаний и предложений, представленных участниками разработки и корректировки Стратегии и экспертами.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21. На этапе проведения общественного обсуждения проекта Стратегии уполномоченный орган проводит общественное обсуждение проекта Стратегии.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22. На этапе утверждения Стратегии уполномоченный орган: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установленном порядке вносит на рассмотрение в Думу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решения Думы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10 рабочих дней со дня утверждения Стратегии размещает е</w:t>
      </w:r>
      <w:r w:rsidR="009837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соответствии со </w:t>
      </w:r>
      <w:hyperlink r:id="rId10" w:history="1">
        <w:r w:rsidRPr="006573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12</w:t>
        </w:r>
      </w:hyperlink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обеспечивает регистрацию Стратегии в федеральном государственном реестре документов стратегического планирования.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В целях повышения эффективности функционирования системы стратегического планирования, реализуемого на основе комплексной оценки основных социально-экономических и финансовых показателей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содержащихся в документах стратегического планирования, а также повышения эффективности деятельности участников разработки и корректировки Стратегии уполномоченный орган ежегодно осуществляет мониторинг Стратегии и контроль е</w:t>
      </w:r>
      <w:r w:rsidR="009837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в соответствии с планом мероприятий по реализации Стратегии.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Структурные подразделения администрации ШМО СК ежегодно, не позднее 15 мая года, следующего за отчетным, представляют в уполномоченный орган отчеты о реализации Стратегии.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25. Уполномоченный орган ежегодно, не позднее 30 июня года, следующего за отчетным: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обобщает представленные структурными подразделениями отчеты о реализации Стратегии и подготавливает сводный отчет о реализации Стратегии (далее – сводный отчет);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в Думу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сводный отчет;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размещает сводный отчет на официальном сайте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По итогам рассмотрения сводного отчета органы местного самоуправления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необходимости, принимают решение о корректировке Стратегии. Корректировка Стратегии осуществляется с соблюдением процедур, предусмотренных настоящим Порядком.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27. Основаниями для корректировки Стратегии являются: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изменения требований федерального законодательства, регламентирующего порядок разработки и реализации Стратегий социально-экономического развития субъектов Российской Федерации;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корректировка прогноза социально-экономического развития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долгосрочный период;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результаты мониторинга и контроля реализации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иные основания по решению органов местного самоуправления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Уполномоченный орган в течение 10 рабочих дней после принятия органами местного самоуправления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корректировке Стратегии запрашивает у участников разработки и корректировки Стратегии предложения по корректировке Стратегии.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29. Участники разработки и корректировки Стратегии в пределах своей компетенции представляют в уполномоченный орган предложения по корректировке Стратегии с приложением пояснительной записки в срок не позднее 30 календарных дней со дня поступления запроса уполномоченного органа.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30. Уполномоченный орган: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трехмесячный срок обобщает представленные участниками разработки и корректировки Стратегии предложения по корректировке Стратегии и подготавливает проект корректировки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 общественное обсуждение проекта корректировки Стратегии;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согласование проекта корректировки Стратегии с министерством экономического развития Ставропольского края в установленном порядке;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подготавливает проект решения Думы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корректировке Стратегии и вносит его на рассмотрение Думы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порядке;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течение 10 рабочих дней со дня утверждения корректировки Стратегии размещает е</w:t>
      </w:r>
      <w:r w:rsidR="009837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65736E">
        <w:rPr>
          <w:rFonts w:ascii="Times New Roman" w:eastAsia="Calibri" w:hAnsi="Times New Roman" w:cs="Times New Roman"/>
          <w:sz w:val="28"/>
          <w:szCs w:val="28"/>
        </w:rPr>
        <w:t>ШМО СК</w:t>
      </w:r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и в соответствии со </w:t>
      </w:r>
      <w:hyperlink r:id="rId11" w:history="1">
        <w:r w:rsidRPr="006573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12</w:t>
        </w:r>
      </w:hyperlink>
      <w:r w:rsidRPr="0065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обеспечивает регистрацию корректировки Стратегии в федеральном государственном реестре документов стратегического планирования.</w:t>
      </w:r>
    </w:p>
    <w:p w:rsidR="0065736E" w:rsidRPr="0065736E" w:rsidRDefault="0065736E" w:rsidP="0098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6E" w:rsidRPr="0065736E" w:rsidRDefault="0065736E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736E" w:rsidRDefault="0065736E" w:rsidP="00983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3764" w:rsidRPr="006D06FD" w:rsidRDefault="007579E2" w:rsidP="007579E2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983764" w:rsidRPr="006D06FD" w:rsidSect="00983764">
      <w:headerReference w:type="default" r:id="rId12"/>
      <w:pgSz w:w="11906" w:h="16838"/>
      <w:pgMar w:top="1134" w:right="567" w:bottom="1134" w:left="1701" w:header="454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016" w:rsidRDefault="00986016" w:rsidP="00983764">
      <w:pPr>
        <w:spacing w:after="0" w:line="240" w:lineRule="auto"/>
      </w:pPr>
      <w:r>
        <w:separator/>
      </w:r>
    </w:p>
  </w:endnote>
  <w:endnote w:type="continuationSeparator" w:id="0">
    <w:p w:rsidR="00986016" w:rsidRDefault="00986016" w:rsidP="0098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016" w:rsidRDefault="00986016" w:rsidP="00983764">
      <w:pPr>
        <w:spacing w:after="0" w:line="240" w:lineRule="auto"/>
      </w:pPr>
      <w:r>
        <w:separator/>
      </w:r>
    </w:p>
  </w:footnote>
  <w:footnote w:type="continuationSeparator" w:id="0">
    <w:p w:rsidR="00986016" w:rsidRDefault="00986016" w:rsidP="0098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04598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83764" w:rsidRPr="00983764" w:rsidRDefault="00983764">
        <w:pPr>
          <w:pStyle w:val="a3"/>
          <w:jc w:val="center"/>
          <w:rPr>
            <w:sz w:val="28"/>
          </w:rPr>
        </w:pPr>
        <w:r w:rsidRPr="00983764">
          <w:rPr>
            <w:sz w:val="28"/>
          </w:rPr>
          <w:fldChar w:fldCharType="begin"/>
        </w:r>
        <w:r w:rsidRPr="00983764">
          <w:rPr>
            <w:sz w:val="28"/>
          </w:rPr>
          <w:instrText>PAGE   \* MERGEFORMAT</w:instrText>
        </w:r>
        <w:r w:rsidRPr="00983764">
          <w:rPr>
            <w:sz w:val="28"/>
          </w:rPr>
          <w:fldChar w:fldCharType="separate"/>
        </w:r>
        <w:r w:rsidR="00B901A6" w:rsidRPr="00B901A6">
          <w:rPr>
            <w:noProof/>
            <w:sz w:val="28"/>
            <w:lang w:val="ru-RU"/>
          </w:rPr>
          <w:t>2</w:t>
        </w:r>
        <w:r w:rsidRPr="00983764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55"/>
    <w:rsid w:val="005D39E0"/>
    <w:rsid w:val="0065736E"/>
    <w:rsid w:val="007579E2"/>
    <w:rsid w:val="00927E91"/>
    <w:rsid w:val="00983764"/>
    <w:rsid w:val="00986016"/>
    <w:rsid w:val="009A5A49"/>
    <w:rsid w:val="009D0AAA"/>
    <w:rsid w:val="00A30086"/>
    <w:rsid w:val="00B901A6"/>
    <w:rsid w:val="00E2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85F1"/>
  <w15:chartTrackingRefBased/>
  <w15:docId w15:val="{B0AD6D70-DF52-4535-A104-9B49F136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73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736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98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764"/>
  </w:style>
  <w:style w:type="paragraph" w:styleId="a7">
    <w:name w:val="Balloon Text"/>
    <w:basedOn w:val="a"/>
    <w:link w:val="a8"/>
    <w:uiPriority w:val="99"/>
    <w:semiHidden/>
    <w:unhideWhenUsed/>
    <w:rsid w:val="0075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A69B1A4F7F65BA493E08BF59DAC14C9488ABE2A5EDB4F13D6933BEF9519FA619B30A03A92BABFC792970FFE9AFC630975FB324BF49EB00608B1B40i672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4B6FBF04B73ED8D0270F883C1C6C606E317505D13E562C1B3D6CFA25TDXC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4B6FBF04B73ED8D0270F883C1C6C606E317505D13E562C1B3D6CFA25TDXCK" TargetMode="External"/><Relationship Id="rId11" Type="http://schemas.openxmlformats.org/officeDocument/2006/relationships/hyperlink" Target="consultantplus://offline/ref=994B6FBF04B73ED8D0270F883C1C6C606E317505D13E562C1B3D6CFA25DCEB224AAD6480384DCB11TFXAK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94B6FBF04B73ED8D0270F883C1C6C606E317505D13E562C1B3D6CFA25DCEB224AAD6480384DCB11TFXA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A69B1A4F7F65BA493E08BF59DAC14C9488ABE2A5EDB4F13D6933BEF9519FA619B30A03A92BABFC792970FEECAFC630975FB324BF49EB00608B1B40i67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2043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Ковтуновская Анна Николаевна</dc:creator>
  <cp:keywords/>
  <dc:description/>
  <cp:lastModifiedBy>Ковтуновская Анна Николаевна</cp:lastModifiedBy>
  <cp:revision>7</cp:revision>
  <cp:lastPrinted>2026-05-04T12:07:00Z</cp:lastPrinted>
  <dcterms:created xsi:type="dcterms:W3CDTF">2026-04-29T09:29:00Z</dcterms:created>
  <dcterms:modified xsi:type="dcterms:W3CDTF">2026-05-04T12:08:00Z</dcterms:modified>
</cp:coreProperties>
</file>