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D" w:rsidRDefault="00EF4E9D" w:rsidP="00E20F57">
      <w:pPr>
        <w:spacing w:after="0" w:line="240" w:lineRule="exact"/>
        <w:ind w:firstLine="567"/>
        <w:jc w:val="center"/>
        <w:rPr>
          <w:b/>
          <w:spacing w:val="-6"/>
        </w:rPr>
      </w:pPr>
      <w:r>
        <w:rPr>
          <w:b/>
          <w:spacing w:val="-6"/>
        </w:rPr>
        <w:t xml:space="preserve">Пояснительная записка </w:t>
      </w:r>
    </w:p>
    <w:p w:rsidR="00441186" w:rsidRPr="00630C68" w:rsidRDefault="00EF4E9D" w:rsidP="00E20F57">
      <w:pPr>
        <w:spacing w:after="0" w:line="240" w:lineRule="exact"/>
        <w:ind w:firstLine="567"/>
        <w:jc w:val="center"/>
        <w:rPr>
          <w:b/>
          <w:spacing w:val="-6"/>
        </w:rPr>
      </w:pPr>
      <w:bookmarkStart w:id="0" w:name="_GoBack"/>
      <w:bookmarkEnd w:id="0"/>
      <w:r>
        <w:rPr>
          <w:b/>
          <w:spacing w:val="-6"/>
        </w:rPr>
        <w:t>к таблице отчетных и прогнозных значений целевых показателей социально-экономического развития Шпаковского муниципального округа Ставропольского края на долгосрочный период</w:t>
      </w:r>
    </w:p>
    <w:p w:rsidR="00441186" w:rsidRPr="00630C68" w:rsidRDefault="00441186" w:rsidP="00E20F5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pacing w:val="-6"/>
          <w:sz w:val="28"/>
          <w:szCs w:val="28"/>
        </w:rPr>
      </w:pPr>
    </w:p>
    <w:p w:rsidR="00441186" w:rsidRDefault="008B400E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72204C">
        <w:rPr>
          <w:rFonts w:ascii="Times New Roman" w:hAnsi="Times New Roman" w:cs="Times New Roman"/>
          <w:spacing w:val="-6"/>
          <w:sz w:val="28"/>
          <w:szCs w:val="28"/>
        </w:rPr>
        <w:t xml:space="preserve"> Ставропольского края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на долгосрочный период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20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21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 год и плановый период 2022-2027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годов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>,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</w:t>
      </w:r>
      <w:proofErr w:type="gramEnd"/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отраслевых (функциональных) органов администрации Шпаковского муниципального округа с правами юридического лица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60C3A" w:rsidRDefault="00860C3A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 начала 2020 года внешние и внутренние условия развития экономики существенно изменились. Распространение новой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инфекции значительно повлияло на развитие всех сфер и отраслей. Траектория развития в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>долгосрочной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перспективе определяется не только экономическими, но и эпидемиологическими факторами и в связи с этим характеризуется повышенной степенью неопределенности. 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базовом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 и умеренно-оптимистичном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>Базовый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санитарно-эпидемиологической ситуации, затяжном восстановлении экономики и 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структурном замедлении темпов е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е роста </w:t>
      </w:r>
      <w:proofErr w:type="gramStart"/>
      <w:r w:rsidR="00774C5A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среднесрочной пер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пективе из-за последствий распространения новой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856F6D">
        <w:rPr>
          <w:rFonts w:ascii="Times New Roman" w:hAnsi="Times New Roman" w:cs="Times New Roman"/>
          <w:spacing w:val="-6"/>
          <w:sz w:val="28"/>
          <w:szCs w:val="28"/>
        </w:rPr>
        <w:t>коронавирусной</w:t>
      </w:r>
      <w:proofErr w:type="spellEnd"/>
      <w:r w:rsidR="00856F6D">
        <w:rPr>
          <w:rFonts w:ascii="Times New Roman" w:hAnsi="Times New Roman" w:cs="Times New Roman"/>
          <w:spacing w:val="-6"/>
          <w:sz w:val="28"/>
          <w:szCs w:val="28"/>
        </w:rPr>
        <w:t xml:space="preserve"> инфекции.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>Умеренно - оптимистичный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Pr="00630C68" w:rsidRDefault="00441186" w:rsidP="00E20F57">
      <w:pPr>
        <w:spacing w:after="0" w:line="240" w:lineRule="auto"/>
        <w:ind w:firstLine="851"/>
        <w:jc w:val="center"/>
        <w:rPr>
          <w:b/>
          <w:bCs/>
          <w:spacing w:val="-6"/>
        </w:rPr>
      </w:pPr>
      <w:r w:rsidRPr="00630C68">
        <w:rPr>
          <w:b/>
          <w:bCs/>
          <w:spacing w:val="-6"/>
        </w:rPr>
        <w:t>Население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bCs/>
          <w:spacing w:val="-6"/>
        </w:rPr>
      </w:pP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DB0D13">
        <w:rPr>
          <w:spacing w:val="-6"/>
        </w:rPr>
        <w:t>еления Шпаковского округа</w:t>
      </w:r>
      <w:r w:rsidR="0072204C">
        <w:rPr>
          <w:spacing w:val="-6"/>
        </w:rPr>
        <w:t xml:space="preserve"> в 2021 году составит</w:t>
      </w:r>
      <w:r w:rsidR="00441186" w:rsidRPr="00630C68">
        <w:rPr>
          <w:spacing w:val="-6"/>
        </w:rPr>
        <w:t xml:space="preserve"> </w:t>
      </w:r>
      <w:r w:rsidR="0072204C">
        <w:rPr>
          <w:spacing w:val="-6"/>
        </w:rPr>
        <w:t>149,0</w:t>
      </w:r>
      <w:r w:rsidR="00403522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8E492B">
        <w:rPr>
          <w:spacing w:val="-6"/>
        </w:rPr>
        <w:t>человек, в 2027</w:t>
      </w:r>
      <w:r>
        <w:rPr>
          <w:spacing w:val="-6"/>
        </w:rPr>
        <w:t xml:space="preserve"> году да</w:t>
      </w:r>
      <w:r w:rsidR="008E492B">
        <w:rPr>
          <w:spacing w:val="-6"/>
        </w:rPr>
        <w:t>н</w:t>
      </w:r>
      <w:r w:rsidR="0072204C">
        <w:rPr>
          <w:spacing w:val="-6"/>
        </w:rPr>
        <w:t>ный показатель составит 155,0</w:t>
      </w:r>
      <w:r>
        <w:rPr>
          <w:spacing w:val="-6"/>
        </w:rPr>
        <w:t xml:space="preserve"> тыс. человек. 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 xml:space="preserve">(число родившихся живыми на 1000 человек населения) </w:t>
      </w:r>
      <w:r w:rsidRPr="00CD259F">
        <w:rPr>
          <w:spacing w:val="-6"/>
        </w:rPr>
        <w:t>в</w:t>
      </w:r>
      <w:r w:rsidR="00D3018B">
        <w:rPr>
          <w:spacing w:val="-6"/>
        </w:rPr>
        <w:t xml:space="preserve"> 2021</w:t>
      </w:r>
      <w:r w:rsidR="00B45B45" w:rsidRPr="00CD259F">
        <w:rPr>
          <w:spacing w:val="-6"/>
        </w:rPr>
        <w:t xml:space="preserve"> году</w:t>
      </w:r>
      <w:r w:rsidR="008E492B">
        <w:rPr>
          <w:spacing w:val="-6"/>
        </w:rPr>
        <w:t xml:space="preserve"> составит 6,8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 xml:space="preserve">(число умерших </w:t>
      </w:r>
      <w:r w:rsidR="00080256">
        <w:rPr>
          <w:spacing w:val="-6"/>
        </w:rPr>
        <w:t>н</w:t>
      </w:r>
      <w:r w:rsidR="008E492B">
        <w:rPr>
          <w:spacing w:val="-6"/>
        </w:rPr>
        <w:t>а 1000 человек населения) – 13,9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коэффициент естественного </w:t>
      </w:r>
      <w:r w:rsidR="00D75601">
        <w:rPr>
          <w:spacing w:val="-6"/>
        </w:rPr>
        <w:t>прирос</w:t>
      </w:r>
      <w:r w:rsidR="00D3018B">
        <w:rPr>
          <w:spacing w:val="-6"/>
        </w:rPr>
        <w:t>та  населения составит -2,8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CD259F" w:rsidRPr="00CD259F">
        <w:rPr>
          <w:spacing w:val="-6"/>
        </w:rPr>
        <w:t>.</w:t>
      </w:r>
      <w:r w:rsidR="00D75601">
        <w:rPr>
          <w:spacing w:val="-6"/>
        </w:rPr>
        <w:t xml:space="preserve"> </w:t>
      </w:r>
      <w:r w:rsidR="00CD259F" w:rsidRPr="00CD259F">
        <w:rPr>
          <w:spacing w:val="-6"/>
        </w:rPr>
        <w:t xml:space="preserve"> </w:t>
      </w:r>
      <w:r w:rsidRPr="00CD259F">
        <w:rPr>
          <w:spacing w:val="-6"/>
        </w:rPr>
        <w:t>К 20</w:t>
      </w:r>
      <w:r w:rsidR="009D302D" w:rsidRPr="00CD259F">
        <w:rPr>
          <w:spacing w:val="-6"/>
        </w:rPr>
        <w:t>2</w:t>
      </w:r>
      <w:r w:rsidR="00E20F57">
        <w:rPr>
          <w:spacing w:val="-6"/>
        </w:rPr>
        <w:t>7</w:t>
      </w:r>
      <w:r w:rsidR="00C40F97">
        <w:rPr>
          <w:spacing w:val="-6"/>
        </w:rPr>
        <w:t xml:space="preserve"> году </w:t>
      </w:r>
      <w:r w:rsidR="00D3018B">
        <w:rPr>
          <w:spacing w:val="-6"/>
        </w:rPr>
        <w:t>ожидаемый</w:t>
      </w:r>
      <w:r w:rsidR="00C40F97">
        <w:rPr>
          <w:spacing w:val="-6"/>
        </w:rPr>
        <w:t xml:space="preserve"> </w:t>
      </w:r>
      <w:r w:rsidR="00080256">
        <w:rPr>
          <w:spacing w:val="-6"/>
        </w:rPr>
        <w:t>коэффициент естеств</w:t>
      </w:r>
      <w:r w:rsidR="008E492B">
        <w:rPr>
          <w:spacing w:val="-6"/>
        </w:rPr>
        <w:t>енного прироста составит -7,8 (естественная убыль)</w:t>
      </w:r>
      <w:r w:rsidR="00080256">
        <w:rPr>
          <w:spacing w:val="-6"/>
        </w:rPr>
        <w:t xml:space="preserve"> на 1000 человек населения.</w:t>
      </w:r>
    </w:p>
    <w:p w:rsidR="005D3E74" w:rsidRDefault="00127167" w:rsidP="00E20F57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В текущем году </w:t>
      </w:r>
      <w:r w:rsidR="00080256">
        <w:rPr>
          <w:spacing w:val="-6"/>
        </w:rPr>
        <w:t xml:space="preserve">ожидаемый </w:t>
      </w:r>
      <w:r w:rsidRPr="00CD259F">
        <w:rPr>
          <w:spacing w:val="-6"/>
        </w:rPr>
        <w:t>ми</w:t>
      </w:r>
      <w:r w:rsidR="00080256">
        <w:rPr>
          <w:spacing w:val="-6"/>
        </w:rPr>
        <w:t xml:space="preserve">грационный прирост составит </w:t>
      </w:r>
      <w:r w:rsidR="00D3018B">
        <w:rPr>
          <w:spacing w:val="-6"/>
        </w:rPr>
        <w:t>-</w:t>
      </w:r>
      <w:r w:rsidR="00080256">
        <w:rPr>
          <w:spacing w:val="-6"/>
        </w:rPr>
        <w:t>0</w:t>
      </w:r>
      <w:r w:rsidR="000E13BD">
        <w:rPr>
          <w:spacing w:val="-6"/>
        </w:rPr>
        <w:t>,</w:t>
      </w:r>
      <w:r w:rsidR="00E20F57">
        <w:rPr>
          <w:spacing w:val="-6"/>
        </w:rPr>
        <w:t>4 тыс. человек. К 2027</w:t>
      </w:r>
      <w:r w:rsidRPr="00CD259F">
        <w:rPr>
          <w:spacing w:val="-6"/>
        </w:rPr>
        <w:t xml:space="preserve"> году показатель  </w:t>
      </w:r>
      <w:r w:rsidR="00D3018B">
        <w:rPr>
          <w:spacing w:val="-6"/>
        </w:rPr>
        <w:t xml:space="preserve">возрастет до  1,0 </w:t>
      </w:r>
      <w:r w:rsidRPr="00CD259F">
        <w:rPr>
          <w:spacing w:val="-6"/>
        </w:rPr>
        <w:t xml:space="preserve"> тыс. человек.</w:t>
      </w:r>
    </w:p>
    <w:p w:rsidR="00E20F57" w:rsidRPr="00E20F57" w:rsidRDefault="00E20F57" w:rsidP="00E20F57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</w:p>
    <w:p w:rsidR="00441186" w:rsidRDefault="00441186" w:rsidP="00E20F57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lastRenderedPageBreak/>
        <w:t>Промышленное производство</w:t>
      </w:r>
    </w:p>
    <w:p w:rsidR="00FF123B" w:rsidRPr="00630C68" w:rsidRDefault="00FF123B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900679" w:rsidRPr="00D76F88" w:rsidRDefault="006764C5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По</w:t>
      </w:r>
      <w:r w:rsidR="00D3018B">
        <w:rPr>
          <w:color w:val="000000" w:themeColor="text1"/>
          <w:spacing w:val="-6"/>
        </w:rPr>
        <w:t xml:space="preserve"> оценке </w:t>
      </w:r>
      <w:proofErr w:type="gramStart"/>
      <w:r w:rsidR="00D3018B">
        <w:rPr>
          <w:color w:val="000000" w:themeColor="text1"/>
          <w:spacing w:val="-6"/>
        </w:rPr>
        <w:t>на конец</w:t>
      </w:r>
      <w:proofErr w:type="gramEnd"/>
      <w:r w:rsidR="00D3018B">
        <w:rPr>
          <w:color w:val="000000" w:themeColor="text1"/>
          <w:spacing w:val="-6"/>
        </w:rPr>
        <w:t xml:space="preserve"> </w:t>
      </w:r>
      <w:r w:rsidR="00347178">
        <w:rPr>
          <w:color w:val="000000" w:themeColor="text1"/>
          <w:spacing w:val="-6"/>
        </w:rPr>
        <w:t xml:space="preserve"> </w:t>
      </w:r>
      <w:r w:rsidR="00D3018B">
        <w:rPr>
          <w:color w:val="000000" w:themeColor="text1"/>
          <w:spacing w:val="-6"/>
        </w:rPr>
        <w:t>2021</w:t>
      </w:r>
      <w:r w:rsidR="00900679" w:rsidRPr="00D76F88">
        <w:rPr>
          <w:color w:val="000000" w:themeColor="text1"/>
          <w:spacing w:val="-6"/>
        </w:rPr>
        <w:t xml:space="preserve"> года объем отгруженных товаров собственного производства, выполненных работ и услуг собственными силами</w:t>
      </w:r>
      <w:r w:rsidR="00DC2D5C">
        <w:rPr>
          <w:color w:val="000000" w:themeColor="text1"/>
          <w:spacing w:val="-6"/>
        </w:rPr>
        <w:t xml:space="preserve"> по</w:t>
      </w:r>
      <w:r w:rsidR="0094237C">
        <w:rPr>
          <w:color w:val="000000" w:themeColor="text1"/>
          <w:spacing w:val="-6"/>
        </w:rPr>
        <w:t xml:space="preserve"> видам экономической деятельности составит</w:t>
      </w:r>
      <w:r w:rsidR="00900679" w:rsidRPr="00D76F88">
        <w:rPr>
          <w:color w:val="000000" w:themeColor="text1"/>
          <w:spacing w:val="-6"/>
        </w:rPr>
        <w:t>:</w:t>
      </w:r>
    </w:p>
    <w:p w:rsidR="00E54ECA" w:rsidRDefault="00900679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 xml:space="preserve">- </w:t>
      </w:r>
      <w:r w:rsidRPr="00D76F88">
        <w:rPr>
          <w:spacing w:val="-6"/>
        </w:rPr>
        <w:t xml:space="preserve">продукция </w:t>
      </w:r>
      <w:r w:rsidRPr="00D76F88">
        <w:rPr>
          <w:color w:val="000000" w:themeColor="text1"/>
          <w:spacing w:val="-6"/>
        </w:rPr>
        <w:t>обрабатывающих производств</w:t>
      </w:r>
      <w:r w:rsidRPr="00D76F88">
        <w:rPr>
          <w:color w:val="C00000"/>
          <w:spacing w:val="-6"/>
        </w:rPr>
        <w:t xml:space="preserve"> </w:t>
      </w:r>
      <w:r w:rsidR="0093009B">
        <w:rPr>
          <w:spacing w:val="-6"/>
        </w:rPr>
        <w:t>–</w:t>
      </w:r>
      <w:r w:rsidRPr="00D76F88">
        <w:rPr>
          <w:spacing w:val="-6"/>
        </w:rPr>
        <w:t xml:space="preserve"> </w:t>
      </w:r>
      <w:r w:rsidR="00D3018B">
        <w:rPr>
          <w:color w:val="000000" w:themeColor="text1"/>
          <w:spacing w:val="-6"/>
        </w:rPr>
        <w:t>3 млрд. 315</w:t>
      </w:r>
      <w:r w:rsidR="00FD6714" w:rsidRPr="00D76F88">
        <w:rPr>
          <w:color w:val="000000" w:themeColor="text1"/>
          <w:spacing w:val="-6"/>
        </w:rPr>
        <w:t xml:space="preserve"> млн.</w:t>
      </w:r>
      <w:r w:rsidR="00FD6714">
        <w:rPr>
          <w:color w:val="000000" w:themeColor="text1"/>
          <w:spacing w:val="-6"/>
        </w:rPr>
        <w:t xml:space="preserve"> </w:t>
      </w:r>
      <w:r w:rsidR="00FD6714" w:rsidRPr="00D76F88">
        <w:rPr>
          <w:color w:val="000000" w:themeColor="text1"/>
          <w:spacing w:val="-6"/>
        </w:rPr>
        <w:t xml:space="preserve">руб.; </w:t>
      </w:r>
    </w:p>
    <w:p w:rsidR="00E10E36" w:rsidRDefault="00080256" w:rsidP="00080256">
      <w:pPr>
        <w:tabs>
          <w:tab w:val="left" w:pos="142"/>
          <w:tab w:val="left" w:pos="567"/>
          <w:tab w:val="left" w:pos="1134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 xml:space="preserve">- </w:t>
      </w:r>
      <w:r w:rsidR="00900679" w:rsidRPr="00D76F88">
        <w:rPr>
          <w:spacing w:val="-6"/>
        </w:rPr>
        <w:t xml:space="preserve">обеспечение электрической энергией, газом и паром, кондиционирование воздуха – </w:t>
      </w:r>
      <w:r w:rsidR="00D3018B">
        <w:rPr>
          <w:color w:val="000000" w:themeColor="text1"/>
          <w:spacing w:val="-6"/>
        </w:rPr>
        <w:t xml:space="preserve"> 647,6</w:t>
      </w:r>
      <w:r w:rsidR="00825576">
        <w:rPr>
          <w:color w:val="000000" w:themeColor="text1"/>
          <w:spacing w:val="-6"/>
        </w:rPr>
        <w:t xml:space="preserve"> </w:t>
      </w:r>
      <w:r w:rsidR="00E10E36">
        <w:rPr>
          <w:color w:val="000000" w:themeColor="text1"/>
          <w:spacing w:val="-6"/>
        </w:rPr>
        <w:t>млн. руб.</w:t>
      </w:r>
    </w:p>
    <w:p w:rsidR="00900679" w:rsidRDefault="00E20F57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spacing w:val="-6"/>
        </w:rPr>
        <w:t>По прогнозным оценкам к 2027</w:t>
      </w:r>
      <w:r w:rsidR="00900679" w:rsidRPr="00D76F88">
        <w:rPr>
          <w:spacing w:val="-6"/>
        </w:rPr>
        <w:t xml:space="preserve"> году структура промышленного производства увеличится </w:t>
      </w:r>
      <w:r w:rsidR="0094237C">
        <w:rPr>
          <w:spacing w:val="-6"/>
        </w:rPr>
        <w:t>незначительным</w:t>
      </w:r>
      <w:r w:rsidR="00263CDD">
        <w:rPr>
          <w:spacing w:val="-6"/>
        </w:rPr>
        <w:t xml:space="preserve"> образом: </w:t>
      </w:r>
      <w:r w:rsidR="00900679" w:rsidRPr="00D76F88">
        <w:rPr>
          <w:color w:val="000000" w:themeColor="text1"/>
          <w:spacing w:val="-6"/>
        </w:rPr>
        <w:t>обрабатывающие производства</w:t>
      </w:r>
      <w:r w:rsidR="0082403D">
        <w:rPr>
          <w:color w:val="000000" w:themeColor="text1"/>
          <w:spacing w:val="-6"/>
        </w:rPr>
        <w:t xml:space="preserve"> - </w:t>
      </w:r>
      <w:r w:rsidR="00D61062">
        <w:rPr>
          <w:color w:val="000000" w:themeColor="text1"/>
          <w:spacing w:val="-6"/>
        </w:rPr>
        <w:t xml:space="preserve"> на </w:t>
      </w:r>
      <w:r w:rsidR="00900679" w:rsidRPr="00D76F88">
        <w:rPr>
          <w:color w:val="000000" w:themeColor="text1"/>
          <w:spacing w:val="-6"/>
        </w:rPr>
        <w:t xml:space="preserve"> </w:t>
      </w:r>
      <w:r w:rsidR="006B6DD5">
        <w:rPr>
          <w:color w:val="000000" w:themeColor="text1"/>
          <w:spacing w:val="-6"/>
        </w:rPr>
        <w:t>24,5</w:t>
      </w:r>
      <w:r w:rsidR="000E13BD">
        <w:rPr>
          <w:color w:val="000000" w:themeColor="text1"/>
          <w:spacing w:val="-6"/>
        </w:rPr>
        <w:t xml:space="preserve">% </w:t>
      </w:r>
      <w:r w:rsidR="005C691F">
        <w:rPr>
          <w:color w:val="000000" w:themeColor="text1"/>
          <w:spacing w:val="-6"/>
        </w:rPr>
        <w:t xml:space="preserve"> </w:t>
      </w:r>
      <w:r w:rsidR="000E13BD">
        <w:rPr>
          <w:color w:val="000000" w:themeColor="text1"/>
          <w:spacing w:val="-6"/>
        </w:rPr>
        <w:t>больше оценк</w:t>
      </w:r>
      <w:r w:rsidR="00AB4117">
        <w:rPr>
          <w:color w:val="000000" w:themeColor="text1"/>
          <w:spacing w:val="-6"/>
        </w:rPr>
        <w:t xml:space="preserve">и </w:t>
      </w:r>
      <w:r w:rsidR="006B6DD5">
        <w:rPr>
          <w:color w:val="000000" w:themeColor="text1"/>
          <w:spacing w:val="-6"/>
        </w:rPr>
        <w:t xml:space="preserve"> </w:t>
      </w:r>
      <w:r w:rsidR="00AB4117">
        <w:rPr>
          <w:color w:val="000000" w:themeColor="text1"/>
          <w:spacing w:val="-6"/>
        </w:rPr>
        <w:t>2021</w:t>
      </w:r>
      <w:r w:rsidR="006C27B8">
        <w:rPr>
          <w:color w:val="000000" w:themeColor="text1"/>
          <w:spacing w:val="-6"/>
        </w:rPr>
        <w:t xml:space="preserve"> </w:t>
      </w:r>
      <w:r w:rsidR="00D61062">
        <w:rPr>
          <w:color w:val="000000" w:themeColor="text1"/>
          <w:spacing w:val="-6"/>
        </w:rPr>
        <w:t xml:space="preserve">года, </w:t>
      </w:r>
      <w:r w:rsidR="00900679" w:rsidRPr="00D76F88">
        <w:rPr>
          <w:color w:val="000000" w:themeColor="text1"/>
          <w:spacing w:val="-6"/>
        </w:rPr>
        <w:t>обеспечение электрической энергией,</w:t>
      </w:r>
      <w:r w:rsidR="00825576">
        <w:rPr>
          <w:color w:val="000000" w:themeColor="text1"/>
          <w:spacing w:val="-6"/>
        </w:rPr>
        <w:t xml:space="preserve"> </w:t>
      </w:r>
      <w:r w:rsidR="00900679" w:rsidRPr="00D76F88">
        <w:rPr>
          <w:color w:val="000000" w:themeColor="text1"/>
          <w:spacing w:val="-6"/>
        </w:rPr>
        <w:t xml:space="preserve"> газом и п</w:t>
      </w:r>
      <w:r w:rsidR="0094237C">
        <w:rPr>
          <w:color w:val="000000" w:themeColor="text1"/>
          <w:spacing w:val="-6"/>
        </w:rPr>
        <w:t>аром,</w:t>
      </w:r>
      <w:r w:rsidR="00825576">
        <w:rPr>
          <w:color w:val="000000" w:themeColor="text1"/>
          <w:spacing w:val="-6"/>
        </w:rPr>
        <w:t xml:space="preserve"> </w:t>
      </w:r>
      <w:r w:rsidR="0094237C">
        <w:rPr>
          <w:color w:val="000000" w:themeColor="text1"/>
          <w:spacing w:val="-6"/>
        </w:rPr>
        <w:t xml:space="preserve"> кондиционирование воздуха </w:t>
      </w:r>
      <w:r w:rsidR="00D61062">
        <w:rPr>
          <w:color w:val="000000" w:themeColor="text1"/>
          <w:spacing w:val="-6"/>
        </w:rPr>
        <w:t xml:space="preserve"> </w:t>
      </w:r>
      <w:r w:rsidR="0082403D">
        <w:rPr>
          <w:color w:val="000000" w:themeColor="text1"/>
          <w:spacing w:val="-6"/>
        </w:rPr>
        <w:t xml:space="preserve">- </w:t>
      </w:r>
      <w:r w:rsidR="00D61062">
        <w:rPr>
          <w:color w:val="000000" w:themeColor="text1"/>
          <w:spacing w:val="-6"/>
        </w:rPr>
        <w:t xml:space="preserve">на </w:t>
      </w:r>
      <w:r w:rsidR="006B6DD5">
        <w:rPr>
          <w:color w:val="000000" w:themeColor="text1"/>
          <w:spacing w:val="-6"/>
        </w:rPr>
        <w:t xml:space="preserve"> 43</w:t>
      </w:r>
      <w:r w:rsidR="009E73CD">
        <w:rPr>
          <w:color w:val="000000" w:themeColor="text1"/>
          <w:spacing w:val="-6"/>
        </w:rPr>
        <w:t xml:space="preserve"> % больше </w:t>
      </w:r>
      <w:r w:rsidR="00D61062">
        <w:rPr>
          <w:color w:val="000000" w:themeColor="text1"/>
          <w:spacing w:val="-6"/>
        </w:rPr>
        <w:t>данного п</w:t>
      </w:r>
      <w:r w:rsidR="00AB4117">
        <w:rPr>
          <w:color w:val="000000" w:themeColor="text1"/>
          <w:spacing w:val="-6"/>
        </w:rPr>
        <w:t>оказателя за 2021</w:t>
      </w:r>
      <w:r w:rsidR="0082403D">
        <w:rPr>
          <w:color w:val="000000" w:themeColor="text1"/>
          <w:spacing w:val="-6"/>
        </w:rPr>
        <w:t xml:space="preserve"> год.</w:t>
      </w:r>
    </w:p>
    <w:p w:rsidR="00441186" w:rsidRPr="00630C68" w:rsidRDefault="00441186" w:rsidP="007F6660">
      <w:pPr>
        <w:spacing w:after="0" w:line="240" w:lineRule="auto"/>
        <w:jc w:val="both"/>
        <w:rPr>
          <w:spacing w:val="-6"/>
          <w:highlight w:val="yellow"/>
        </w:rPr>
      </w:pPr>
    </w:p>
    <w:p w:rsidR="00441186" w:rsidRPr="00630C68" w:rsidRDefault="00441186" w:rsidP="00E20F57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Сельское хозяйство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Прогноз развития сельского хозяйства разрабо</w:t>
      </w:r>
      <w:r w:rsidR="00AB4117">
        <w:t>тан с учетом имеющегося в Шпаковском муниципальном округе</w:t>
      </w:r>
      <w:r w:rsidRPr="007E0D76">
        <w:t xml:space="preserve"> потенциала и сложившихся тенденций развития предприятий агропромышленного комплекса, крестьянских (фермерских) хозяйств и хозяйств населе</w:t>
      </w:r>
      <w:r w:rsidR="00AB4117">
        <w:t>ния. Сельское хозяйство</w:t>
      </w:r>
      <w:r w:rsidRPr="007E0D76">
        <w:t xml:space="preserve"> представлено в основном малыми формами хозяйствования. В этой сфере наблюдается </w:t>
      </w:r>
      <w:r w:rsidR="001D49C5">
        <w:t>рост</w:t>
      </w:r>
      <w:r w:rsidR="00DE6CC4">
        <w:t xml:space="preserve"> благодаря</w:t>
      </w:r>
      <w:r w:rsidRPr="007E0D76">
        <w:t xml:space="preserve"> программам поддержки и финансового оздоровления сельхозпроизводителей.</w:t>
      </w:r>
    </w:p>
    <w:p w:rsidR="00864360" w:rsidRPr="007E0D76" w:rsidRDefault="00AB4117" w:rsidP="00CB1FBB">
      <w:pPr>
        <w:spacing w:after="0" w:line="240" w:lineRule="auto"/>
        <w:ind w:firstLine="851"/>
        <w:jc w:val="both"/>
      </w:pPr>
      <w:r>
        <w:t>По оценке за 2021</w:t>
      </w:r>
      <w:r w:rsidR="00864360" w:rsidRPr="007E0D76">
        <w:t xml:space="preserve"> год производство продукции сел</w:t>
      </w:r>
      <w:r w:rsidR="00864360">
        <w:t xml:space="preserve">ьского </w:t>
      </w:r>
      <w:r w:rsidR="00182A5E">
        <w:t>хозяйства составит 44619,3</w:t>
      </w:r>
      <w:r w:rsidR="00375DB3">
        <w:t xml:space="preserve"> </w:t>
      </w:r>
      <w:r w:rsidR="00182A5E">
        <w:t>млн</w:t>
      </w:r>
      <w:r w:rsidR="00DE6CC4">
        <w:t xml:space="preserve">. </w:t>
      </w:r>
      <w:r w:rsidR="00864360" w:rsidRPr="007E0D76">
        <w:t>рублей, при этом доля проду</w:t>
      </w:r>
      <w:r w:rsidR="00864360">
        <w:t>кции растениеводства</w:t>
      </w:r>
      <w:r w:rsidR="00817866">
        <w:t xml:space="preserve"> со</w:t>
      </w:r>
      <w:r w:rsidR="007F6660">
        <w:t>ставит 8%, животноводства - 92</w:t>
      </w:r>
      <w:r w:rsidR="00864360" w:rsidRPr="007E0D76">
        <w:t>%.</w:t>
      </w:r>
    </w:p>
    <w:p w:rsidR="00AA7D07" w:rsidRDefault="00864360" w:rsidP="006B6DD5">
      <w:pPr>
        <w:spacing w:after="0" w:line="240" w:lineRule="auto"/>
        <w:ind w:firstLine="851"/>
        <w:jc w:val="both"/>
      </w:pPr>
      <w:r w:rsidRPr="007E0D76">
        <w:t>По прогнозным оценкам к</w:t>
      </w:r>
      <w:r>
        <w:t xml:space="preserve"> 2</w:t>
      </w:r>
      <w:r w:rsidR="006B6DD5">
        <w:t>027</w:t>
      </w:r>
      <w:r w:rsidR="00CE0FA3">
        <w:t xml:space="preserve"> году общий объём</w:t>
      </w:r>
      <w:r w:rsidR="00DE6CC4" w:rsidRPr="00DE6CC4">
        <w:t xml:space="preserve"> </w:t>
      </w:r>
      <w:r w:rsidR="00DE6CC4" w:rsidRPr="007E0D76">
        <w:t>производств</w:t>
      </w:r>
      <w:r w:rsidR="00DE6CC4">
        <w:t>а</w:t>
      </w:r>
      <w:r w:rsidR="00DE6CC4" w:rsidRPr="007E0D76">
        <w:t xml:space="preserve"> продукции сел</w:t>
      </w:r>
      <w:r w:rsidR="00DE6CC4">
        <w:t>ьского хозяйства</w:t>
      </w:r>
      <w:r w:rsidR="006B6DD5">
        <w:t xml:space="preserve"> составит 57,1</w:t>
      </w:r>
      <w:r w:rsidR="0093009B">
        <w:t xml:space="preserve"> млрд.</w:t>
      </w:r>
      <w:r w:rsidR="00375DB3">
        <w:t xml:space="preserve"> </w:t>
      </w:r>
      <w:r w:rsidR="00F70644">
        <w:t>рублей, при этом доли</w:t>
      </w:r>
      <w:r w:rsidRPr="007E0D76">
        <w:t xml:space="preserve"> продукции растениеводства </w:t>
      </w:r>
      <w:r w:rsidR="00F70644">
        <w:t>и животноводства от общего объема продукции сельского хо</w:t>
      </w:r>
      <w:r w:rsidR="007D2A69">
        <w:t>зяйства останутся на уровне 2021</w:t>
      </w:r>
      <w:r w:rsidR="00F70644">
        <w:t xml:space="preserve"> года.</w:t>
      </w:r>
    </w:p>
    <w:p w:rsidR="006B6DD5" w:rsidRDefault="006B6DD5" w:rsidP="006B6DD5">
      <w:pPr>
        <w:spacing w:after="0" w:line="240" w:lineRule="auto"/>
        <w:jc w:val="center"/>
        <w:rPr>
          <w:b/>
        </w:rPr>
      </w:pPr>
    </w:p>
    <w:p w:rsidR="006B6DD5" w:rsidRDefault="006B6DD5" w:rsidP="00E20F57">
      <w:pPr>
        <w:spacing w:after="0" w:line="240" w:lineRule="auto"/>
        <w:ind w:firstLine="851"/>
        <w:jc w:val="center"/>
        <w:rPr>
          <w:b/>
        </w:rPr>
      </w:pPr>
      <w:r w:rsidRPr="006B6DD5">
        <w:rPr>
          <w:b/>
        </w:rPr>
        <w:t>Дороги</w:t>
      </w:r>
    </w:p>
    <w:p w:rsidR="00E20F57" w:rsidRDefault="00E20F57" w:rsidP="00E20F57">
      <w:pPr>
        <w:spacing w:after="0" w:line="240" w:lineRule="auto"/>
        <w:ind w:firstLine="851"/>
        <w:jc w:val="center"/>
        <w:rPr>
          <w:b/>
        </w:rPr>
      </w:pPr>
    </w:p>
    <w:p w:rsidR="006B6DD5" w:rsidRDefault="006B6DD5" w:rsidP="006B6DD5">
      <w:pPr>
        <w:spacing w:after="0" w:line="240" w:lineRule="auto"/>
        <w:ind w:firstLine="851"/>
        <w:jc w:val="both"/>
      </w:pPr>
      <w:r w:rsidRPr="006B6DD5">
        <w:t>Протяженность</w:t>
      </w:r>
      <w:r>
        <w:t xml:space="preserve"> автомобильных дорог общего пользования с твердым покрытием (федерального, регионального и межмуниципального местного значения) в 2021 году составит 509,1 км, в том числе федерального и регионального значения – 188,1 км.  К 2027 году данный показатель увеличится на 1,2% за счет строительства межмуниципальных дорог. </w:t>
      </w:r>
    </w:p>
    <w:p w:rsidR="006B6DD5" w:rsidRPr="006B6DD5" w:rsidRDefault="006B6DD5" w:rsidP="006B6DD5">
      <w:pPr>
        <w:spacing w:after="0" w:line="240" w:lineRule="auto"/>
        <w:ind w:firstLine="851"/>
        <w:jc w:val="both"/>
      </w:pPr>
      <w:r>
        <w:t xml:space="preserve">Удельный вес автомобильных дорог с твердым покрытием и </w:t>
      </w:r>
      <w:proofErr w:type="gramStart"/>
      <w:r>
        <w:t>грунтовых дорог, не отвечающих нормативным требованиям в 2021 году составит</w:t>
      </w:r>
      <w:proofErr w:type="gramEnd"/>
      <w:r>
        <w:t xml:space="preserve"> 41,1%. К концу 2027 года данный показатель снизится 13,6%.</w:t>
      </w:r>
    </w:p>
    <w:p w:rsidR="00E20F57" w:rsidRDefault="00E20F57" w:rsidP="00361528">
      <w:pPr>
        <w:spacing w:after="0" w:line="240" w:lineRule="auto"/>
        <w:ind w:firstLine="851"/>
        <w:jc w:val="center"/>
        <w:rPr>
          <w:b/>
          <w:spacing w:val="-6"/>
        </w:rPr>
      </w:pPr>
    </w:p>
    <w:p w:rsidR="00E20F57" w:rsidRDefault="00E20F57" w:rsidP="00361528">
      <w:pPr>
        <w:spacing w:after="0" w:line="240" w:lineRule="auto"/>
        <w:ind w:firstLine="851"/>
        <w:jc w:val="center"/>
        <w:rPr>
          <w:b/>
          <w:spacing w:val="-6"/>
        </w:rPr>
      </w:pPr>
    </w:p>
    <w:p w:rsidR="00E20F57" w:rsidRDefault="00E20F57" w:rsidP="00361528">
      <w:pPr>
        <w:spacing w:after="0" w:line="240" w:lineRule="auto"/>
        <w:ind w:firstLine="851"/>
        <w:jc w:val="center"/>
        <w:rPr>
          <w:b/>
          <w:spacing w:val="-6"/>
        </w:rPr>
      </w:pPr>
    </w:p>
    <w:p w:rsidR="00E20F57" w:rsidRDefault="00E20F57" w:rsidP="00361528">
      <w:pPr>
        <w:spacing w:after="0" w:line="240" w:lineRule="auto"/>
        <w:ind w:firstLine="851"/>
        <w:jc w:val="center"/>
        <w:rPr>
          <w:b/>
          <w:spacing w:val="-6"/>
        </w:rPr>
      </w:pPr>
    </w:p>
    <w:p w:rsidR="00361528" w:rsidRDefault="00361528" w:rsidP="00361528">
      <w:pPr>
        <w:spacing w:after="0" w:line="240" w:lineRule="auto"/>
        <w:ind w:firstLine="851"/>
        <w:jc w:val="center"/>
        <w:rPr>
          <w:b/>
          <w:spacing w:val="-6"/>
        </w:rPr>
      </w:pPr>
      <w:r>
        <w:rPr>
          <w:b/>
          <w:spacing w:val="-6"/>
        </w:rPr>
        <w:lastRenderedPageBreak/>
        <w:t>Рынок товаров и услуг</w:t>
      </w:r>
    </w:p>
    <w:p w:rsidR="00361528" w:rsidRPr="00630C68" w:rsidRDefault="00361528" w:rsidP="00361528">
      <w:pPr>
        <w:spacing w:after="0" w:line="240" w:lineRule="auto"/>
        <w:ind w:firstLine="851"/>
        <w:jc w:val="center"/>
        <w:rPr>
          <w:b/>
          <w:spacing w:val="-6"/>
        </w:rPr>
      </w:pPr>
    </w:p>
    <w:p w:rsidR="00361528" w:rsidRPr="00932B60" w:rsidRDefault="00361528" w:rsidP="0036152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</w:t>
      </w:r>
      <w:r w:rsidRPr="002E667E">
        <w:rPr>
          <w:color w:val="000000" w:themeColor="text1"/>
          <w:spacing w:val="-6"/>
        </w:rPr>
        <w:t xml:space="preserve">борот розничной торговли по </w:t>
      </w:r>
      <w:r>
        <w:rPr>
          <w:color w:val="000000" w:themeColor="text1"/>
          <w:spacing w:val="-6"/>
        </w:rPr>
        <w:t>оценке в 2021</w:t>
      </w:r>
      <w:r w:rsidRPr="002E667E">
        <w:rPr>
          <w:color w:val="000000" w:themeColor="text1"/>
          <w:spacing w:val="-6"/>
        </w:rPr>
        <w:t xml:space="preserve"> году составит </w:t>
      </w:r>
      <w:r>
        <w:rPr>
          <w:color w:val="000000" w:themeColor="text1"/>
          <w:spacing w:val="-6"/>
        </w:rPr>
        <w:t xml:space="preserve">12 млрд. 397 млн. </w:t>
      </w:r>
      <w:r w:rsidRPr="002E667E">
        <w:rPr>
          <w:color w:val="000000" w:themeColor="text1"/>
          <w:spacing w:val="-6"/>
        </w:rPr>
        <w:t>рублей.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 xml:space="preserve"> </w:t>
      </w:r>
      <w:proofErr w:type="gramStart"/>
      <w:r w:rsidRPr="002E667E">
        <w:rPr>
          <w:color w:val="000000" w:themeColor="text1"/>
          <w:spacing w:val="-6"/>
        </w:rPr>
        <w:t xml:space="preserve">К 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20</w:t>
      </w:r>
      <w:r>
        <w:rPr>
          <w:color w:val="000000" w:themeColor="text1"/>
          <w:spacing w:val="-6"/>
        </w:rPr>
        <w:t xml:space="preserve">27 </w:t>
      </w:r>
      <w:r w:rsidRPr="002E667E">
        <w:rPr>
          <w:color w:val="000000" w:themeColor="text1"/>
          <w:spacing w:val="-6"/>
        </w:rPr>
        <w:t xml:space="preserve"> году </w:t>
      </w:r>
      <w:r>
        <w:rPr>
          <w:color w:val="000000" w:themeColor="text1"/>
          <w:spacing w:val="-6"/>
        </w:rPr>
        <w:t xml:space="preserve">в Шпаковском муниципальном округе данный показатель </w:t>
      </w:r>
      <w:r w:rsidRPr="002E667E">
        <w:rPr>
          <w:color w:val="000000" w:themeColor="text1"/>
          <w:spacing w:val="-6"/>
        </w:rPr>
        <w:t>по прогно</w:t>
      </w:r>
      <w:r>
        <w:rPr>
          <w:color w:val="000000" w:themeColor="text1"/>
          <w:spacing w:val="-6"/>
        </w:rPr>
        <w:t>зу возрастет до 14,8 млрд. руб.).</w:t>
      </w:r>
      <w:proofErr w:type="gramEnd"/>
    </w:p>
    <w:p w:rsidR="00361528" w:rsidRPr="002E667E" w:rsidRDefault="00361528" w:rsidP="00361528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2E667E">
        <w:rPr>
          <w:color w:val="000000" w:themeColor="text1"/>
          <w:spacing w:val="-6"/>
        </w:rPr>
        <w:t>Объе</w:t>
      </w:r>
      <w:r>
        <w:rPr>
          <w:color w:val="000000" w:themeColor="text1"/>
          <w:spacing w:val="-6"/>
        </w:rPr>
        <w:t>м платных услуг населению за 2021</w:t>
      </w:r>
      <w:r w:rsidRPr="002E667E">
        <w:rPr>
          <w:color w:val="000000" w:themeColor="text1"/>
          <w:spacing w:val="-6"/>
        </w:rPr>
        <w:t xml:space="preserve"> год составит </w:t>
      </w:r>
      <w:r>
        <w:rPr>
          <w:color w:val="000000" w:themeColor="text1"/>
          <w:spacing w:val="-6"/>
        </w:rPr>
        <w:t xml:space="preserve"> 3 млрд. 600 </w:t>
      </w:r>
      <w:r w:rsidRPr="002E667E">
        <w:rPr>
          <w:color w:val="000000" w:themeColor="text1"/>
          <w:spacing w:val="-6"/>
        </w:rPr>
        <w:t>мл</w:t>
      </w:r>
      <w:r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>. рублей, а к 20</w:t>
      </w:r>
      <w:r>
        <w:rPr>
          <w:color w:val="000000" w:themeColor="text1"/>
          <w:spacing w:val="-6"/>
        </w:rPr>
        <w:t>27 году возрастет</w:t>
      </w:r>
      <w:r w:rsidRPr="002E667E">
        <w:rPr>
          <w:color w:val="000000" w:themeColor="text1"/>
          <w:spacing w:val="-6"/>
        </w:rPr>
        <w:t xml:space="preserve"> на </w:t>
      </w:r>
      <w:r>
        <w:rPr>
          <w:color w:val="000000" w:themeColor="text1"/>
          <w:spacing w:val="-6"/>
        </w:rPr>
        <w:t xml:space="preserve">27,2 % и составит 4 млрд. 58 </w:t>
      </w:r>
      <w:r w:rsidRPr="002E667E">
        <w:rPr>
          <w:color w:val="000000" w:themeColor="text1"/>
          <w:spacing w:val="-6"/>
        </w:rPr>
        <w:t>мл</w:t>
      </w:r>
      <w:r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>. рублей.</w:t>
      </w:r>
    </w:p>
    <w:p w:rsidR="00E20F57" w:rsidRDefault="00E20F57" w:rsidP="00E20F57">
      <w:pPr>
        <w:spacing w:after="0" w:line="240" w:lineRule="auto"/>
        <w:ind w:firstLine="851"/>
        <w:jc w:val="center"/>
      </w:pPr>
    </w:p>
    <w:p w:rsidR="00361528" w:rsidRPr="00630C68" w:rsidRDefault="00361528" w:rsidP="00E20F57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Инвестиции</w:t>
      </w:r>
    </w:p>
    <w:p w:rsidR="00361528" w:rsidRPr="00630C68" w:rsidRDefault="00361528" w:rsidP="00361528">
      <w:pPr>
        <w:spacing w:after="0" w:line="240" w:lineRule="auto"/>
        <w:ind w:firstLine="851"/>
        <w:jc w:val="center"/>
        <w:rPr>
          <w:b/>
          <w:spacing w:val="-6"/>
        </w:rPr>
      </w:pPr>
    </w:p>
    <w:p w:rsidR="00361528" w:rsidRPr="00630C68" w:rsidRDefault="00361528" w:rsidP="00361528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>
        <w:rPr>
          <w:spacing w:val="-6"/>
        </w:rPr>
        <w:t xml:space="preserve">2021 год составит </w:t>
      </w:r>
      <w:r w:rsidRPr="00630C68">
        <w:rPr>
          <w:spacing w:val="-6"/>
        </w:rPr>
        <w:t> </w:t>
      </w:r>
      <w:r>
        <w:rPr>
          <w:spacing w:val="-6"/>
        </w:rPr>
        <w:t xml:space="preserve">1,9 </w:t>
      </w:r>
      <w:r w:rsidRPr="00630C68">
        <w:rPr>
          <w:spacing w:val="-6"/>
        </w:rPr>
        <w:t xml:space="preserve"> млрд. рублей, к 20</w:t>
      </w:r>
      <w:r>
        <w:rPr>
          <w:spacing w:val="-6"/>
        </w:rPr>
        <w:t>27</w:t>
      </w:r>
      <w:r w:rsidRPr="00630C68">
        <w:rPr>
          <w:spacing w:val="-6"/>
        </w:rPr>
        <w:t xml:space="preserve"> году </w:t>
      </w:r>
      <w:r>
        <w:rPr>
          <w:spacing w:val="-6"/>
        </w:rPr>
        <w:t>данный показатель  увеличится на 69 процентов.</w:t>
      </w:r>
    </w:p>
    <w:p w:rsidR="00361528" w:rsidRDefault="00361528" w:rsidP="0036152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Инвестиционная деятельность в Шпаковском округе характеризуется положительной динамикой, как в разрезе отраслей, так и по источникам финансирования.</w:t>
      </w:r>
    </w:p>
    <w:p w:rsidR="007A758D" w:rsidRPr="00630C68" w:rsidRDefault="007A758D" w:rsidP="00E20F57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Строительство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</w:t>
      </w:r>
      <w:r w:rsidR="00067695">
        <w:rPr>
          <w:spacing w:val="-6"/>
        </w:rPr>
        <w:t>в</w:t>
      </w:r>
      <w:r w:rsidR="007D2A69">
        <w:rPr>
          <w:spacing w:val="-6"/>
        </w:rPr>
        <w:t>од в действие жилых домов в 2021</w:t>
      </w:r>
      <w:r w:rsidRPr="00630C68">
        <w:rPr>
          <w:spacing w:val="-6"/>
        </w:rPr>
        <w:t xml:space="preserve"> году </w:t>
      </w:r>
      <w:r w:rsidR="002D2C82" w:rsidRPr="00630C68">
        <w:rPr>
          <w:spacing w:val="-6"/>
        </w:rPr>
        <w:t xml:space="preserve">по оценке </w:t>
      </w:r>
      <w:r w:rsidRPr="00630C68">
        <w:rPr>
          <w:spacing w:val="-6"/>
        </w:rPr>
        <w:t xml:space="preserve">составит </w:t>
      </w:r>
      <w:r w:rsidR="007C5289">
        <w:rPr>
          <w:spacing w:val="-6"/>
        </w:rPr>
        <w:t xml:space="preserve">                           </w:t>
      </w:r>
      <w:r w:rsidR="007D2A69">
        <w:rPr>
          <w:spacing w:val="-6"/>
        </w:rPr>
        <w:t>220,0</w:t>
      </w:r>
      <w:r w:rsidRPr="00630C68">
        <w:rPr>
          <w:spacing w:val="-6"/>
        </w:rPr>
        <w:t xml:space="preserve"> тыс. кв. м. площади. К 20</w:t>
      </w:r>
      <w:r w:rsidR="00361528">
        <w:rPr>
          <w:spacing w:val="-6"/>
        </w:rPr>
        <w:t>27</w:t>
      </w:r>
      <w:r w:rsidRPr="00630C68">
        <w:rPr>
          <w:spacing w:val="-6"/>
        </w:rPr>
        <w:t xml:space="preserve"> году </w:t>
      </w:r>
      <w:r w:rsidR="004C66CA">
        <w:rPr>
          <w:spacing w:val="-6"/>
        </w:rPr>
        <w:t xml:space="preserve">в Шпаковском муниципальном округе </w:t>
      </w:r>
      <w:r w:rsidRPr="00630C68">
        <w:rPr>
          <w:spacing w:val="-6"/>
        </w:rPr>
        <w:t xml:space="preserve">прогнозируется </w:t>
      </w:r>
      <w:r w:rsidR="007D2A69">
        <w:rPr>
          <w:spacing w:val="-6"/>
        </w:rPr>
        <w:t xml:space="preserve">незначительное </w:t>
      </w:r>
      <w:r w:rsidRPr="00630C68">
        <w:rPr>
          <w:spacing w:val="-6"/>
        </w:rPr>
        <w:t>увеличение данного показателя</w:t>
      </w:r>
      <w:r w:rsidR="00A871C7">
        <w:rPr>
          <w:spacing w:val="-6"/>
        </w:rPr>
        <w:t>.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</w:rPr>
      </w:pPr>
    </w:p>
    <w:p w:rsidR="00361528" w:rsidRPr="00361528" w:rsidRDefault="00361528" w:rsidP="00E20F57">
      <w:pPr>
        <w:spacing w:after="0" w:line="240" w:lineRule="auto"/>
        <w:ind w:firstLine="851"/>
        <w:jc w:val="center"/>
        <w:rPr>
          <w:b/>
          <w:spacing w:val="-6"/>
        </w:rPr>
      </w:pPr>
      <w:r w:rsidRPr="00361528">
        <w:rPr>
          <w:b/>
          <w:spacing w:val="-6"/>
        </w:rPr>
        <w:t>Денежные доходы населения</w:t>
      </w:r>
    </w:p>
    <w:p w:rsidR="00361528" w:rsidRDefault="00361528" w:rsidP="00361528">
      <w:pPr>
        <w:spacing w:after="0" w:line="240" w:lineRule="auto"/>
        <w:ind w:firstLine="851"/>
        <w:rPr>
          <w:b/>
          <w:spacing w:val="-6"/>
        </w:rPr>
      </w:pPr>
    </w:p>
    <w:p w:rsidR="00D73A78" w:rsidRDefault="00361528" w:rsidP="0036152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Социальные выплаты населению </w:t>
      </w:r>
      <w:r w:rsidR="00D73A78">
        <w:rPr>
          <w:spacing w:val="-6"/>
        </w:rPr>
        <w:t xml:space="preserve">(пособия и социальная помощь) </w:t>
      </w:r>
      <w:r>
        <w:rPr>
          <w:spacing w:val="-6"/>
        </w:rPr>
        <w:t>в 2021 году составят 1446,53 млн. руб</w:t>
      </w:r>
      <w:r w:rsidR="00D73A78">
        <w:rPr>
          <w:spacing w:val="-6"/>
        </w:rPr>
        <w:t>лей. К 2027 году рост данного показателя составит 18,4%.</w:t>
      </w:r>
    </w:p>
    <w:p w:rsidR="0093009B" w:rsidRDefault="00D73A78" w:rsidP="00361528">
      <w:pPr>
        <w:spacing w:after="0" w:line="240" w:lineRule="auto"/>
        <w:ind w:firstLine="851"/>
        <w:rPr>
          <w:b/>
          <w:spacing w:val="-6"/>
        </w:rPr>
      </w:pPr>
      <w:r>
        <w:rPr>
          <w:spacing w:val="-6"/>
        </w:rPr>
        <w:t xml:space="preserve">Численность населения с денежными доходами ниже прожиточного минимума составит 15%. По прогнозу к 2027 году данный показатель составит 10,1%. </w:t>
      </w:r>
      <w:r w:rsidR="0093009B">
        <w:rPr>
          <w:b/>
          <w:spacing w:val="-6"/>
        </w:rPr>
        <w:t xml:space="preserve"> </w:t>
      </w:r>
    </w:p>
    <w:p w:rsidR="00D73A78" w:rsidRPr="00630C68" w:rsidRDefault="00D73A78" w:rsidP="00E20F57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Труд и занятость</w:t>
      </w:r>
    </w:p>
    <w:p w:rsidR="00D73A78" w:rsidRPr="00630C68" w:rsidRDefault="00D73A78" w:rsidP="00D73A78">
      <w:pPr>
        <w:spacing w:after="0" w:line="240" w:lineRule="auto"/>
        <w:ind w:firstLine="851"/>
        <w:jc w:val="center"/>
        <w:rPr>
          <w:b/>
          <w:spacing w:val="-6"/>
        </w:rPr>
      </w:pPr>
    </w:p>
    <w:p w:rsidR="00D73A78" w:rsidRDefault="00D73A78" w:rsidP="00D73A7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Численность экономически активного населения в 2021 году составит 61,47 тыс. человек.  К 2027 году данный показатель увеличится незначительно.</w:t>
      </w:r>
    </w:p>
    <w:p w:rsidR="00D73A78" w:rsidRDefault="00D73A78" w:rsidP="00D73A7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Численность </w:t>
      </w:r>
      <w:proofErr w:type="gramStart"/>
      <w:r>
        <w:rPr>
          <w:spacing w:val="-6"/>
        </w:rPr>
        <w:t>безработных, зарегистрированных в государственных учреждениях службы занятости населения в 2021 году составит</w:t>
      </w:r>
      <w:proofErr w:type="gramEnd"/>
      <w:r>
        <w:rPr>
          <w:spacing w:val="-6"/>
        </w:rPr>
        <w:t xml:space="preserve"> 0,7 тыс. человек. Данный показатель к 2027 году практически не изменится.</w:t>
      </w:r>
    </w:p>
    <w:p w:rsidR="00D73A78" w:rsidRPr="00E20F57" w:rsidRDefault="00D73A78" w:rsidP="00E20F57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Планируемый уровень зарегистрированной безработицы в 2021 году составит 0,6 %, к 2027 году ожидается снижение данного показателя до 1,0%.</w:t>
      </w:r>
    </w:p>
    <w:p w:rsidR="00E20F57" w:rsidRDefault="00D73A78" w:rsidP="00E20F57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</w:t>
      </w:r>
      <w:r>
        <w:rPr>
          <w:spacing w:val="-6"/>
        </w:rPr>
        <w:t xml:space="preserve">начисленной </w:t>
      </w:r>
      <w:r w:rsidRPr="00630C68">
        <w:rPr>
          <w:spacing w:val="-6"/>
        </w:rPr>
        <w:t xml:space="preserve">заработной платы </w:t>
      </w:r>
      <w:r>
        <w:rPr>
          <w:spacing w:val="-6"/>
        </w:rPr>
        <w:t xml:space="preserve">всех </w:t>
      </w:r>
      <w:r w:rsidRPr="00630C68">
        <w:rPr>
          <w:spacing w:val="-6"/>
        </w:rPr>
        <w:t xml:space="preserve">работников </w:t>
      </w:r>
      <w:r>
        <w:rPr>
          <w:spacing w:val="-6"/>
        </w:rPr>
        <w:t>по оценке в 2021 году состави</w:t>
      </w:r>
      <w:r w:rsidRPr="00630C68">
        <w:rPr>
          <w:spacing w:val="-6"/>
        </w:rPr>
        <w:t xml:space="preserve">т </w:t>
      </w:r>
      <w:r>
        <w:rPr>
          <w:spacing w:val="-6"/>
        </w:rPr>
        <w:t xml:space="preserve">5 млрд. 280 </w:t>
      </w:r>
      <w:r w:rsidRPr="00630C68">
        <w:rPr>
          <w:spacing w:val="-6"/>
        </w:rPr>
        <w:t xml:space="preserve"> мл</w:t>
      </w:r>
      <w:r>
        <w:rPr>
          <w:spacing w:val="-6"/>
        </w:rPr>
        <w:t>н</w:t>
      </w:r>
      <w:r w:rsidRPr="00630C68">
        <w:rPr>
          <w:spacing w:val="-6"/>
        </w:rPr>
        <w:t>.</w:t>
      </w:r>
      <w:r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>
        <w:rPr>
          <w:spacing w:val="-6"/>
        </w:rPr>
        <w:t>27</w:t>
      </w:r>
      <w:r w:rsidRPr="00630C68">
        <w:rPr>
          <w:spacing w:val="-6"/>
        </w:rPr>
        <w:t xml:space="preserve"> году </w:t>
      </w:r>
      <w:r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>
        <w:rPr>
          <w:spacing w:val="-6"/>
        </w:rPr>
        <w:t>до</w:t>
      </w:r>
      <w:r w:rsidRPr="00630C68">
        <w:rPr>
          <w:spacing w:val="-6"/>
        </w:rPr>
        <w:t xml:space="preserve"> </w:t>
      </w:r>
      <w:r>
        <w:rPr>
          <w:spacing w:val="-6"/>
        </w:rPr>
        <w:t>7 млрд. 72</w:t>
      </w:r>
      <w:r w:rsidRPr="00630C68">
        <w:rPr>
          <w:spacing w:val="-6"/>
        </w:rPr>
        <w:t xml:space="preserve"> мл</w:t>
      </w:r>
      <w:r>
        <w:rPr>
          <w:spacing w:val="-6"/>
        </w:rPr>
        <w:t>н</w:t>
      </w:r>
      <w:r w:rsidRPr="00630C68">
        <w:rPr>
          <w:spacing w:val="-6"/>
        </w:rPr>
        <w:t>. рублей.</w:t>
      </w:r>
    </w:p>
    <w:p w:rsidR="00D73A78" w:rsidRPr="00E20F57" w:rsidRDefault="002526FF" w:rsidP="00E20F57">
      <w:pPr>
        <w:spacing w:after="0" w:line="240" w:lineRule="auto"/>
        <w:ind w:firstLine="851"/>
        <w:jc w:val="both"/>
        <w:rPr>
          <w:spacing w:val="-6"/>
        </w:rPr>
      </w:pPr>
      <w:r>
        <w:rPr>
          <w:color w:val="000000" w:themeColor="text1"/>
          <w:spacing w:val="-6"/>
        </w:rPr>
        <w:lastRenderedPageBreak/>
        <w:t>Среднемесячная заработная плата работников (без внешних совместителей) составит 36557,7 рублей. К 2027 году ожидаемый рост данного показатель составит 32%.</w:t>
      </w:r>
    </w:p>
    <w:p w:rsidR="00BB1840" w:rsidRDefault="00BB1840" w:rsidP="00CB1FBB">
      <w:pPr>
        <w:spacing w:after="0" w:line="240" w:lineRule="auto"/>
        <w:ind w:firstLine="851"/>
        <w:rPr>
          <w:b/>
          <w:spacing w:val="-6"/>
        </w:rPr>
      </w:pPr>
    </w:p>
    <w:p w:rsidR="00E82EC0" w:rsidRDefault="00E82EC0" w:rsidP="00E20F57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  <w:r w:rsidRPr="008D748D">
        <w:rPr>
          <w:b/>
          <w:spacing w:val="-6"/>
          <w:lang w:eastAsia="ru-RU"/>
        </w:rPr>
        <w:t>Развитие социальной сферы</w:t>
      </w:r>
    </w:p>
    <w:p w:rsidR="00E82EC0" w:rsidRDefault="00E82EC0" w:rsidP="00CB1FBB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</w:p>
    <w:p w:rsidR="002526FF" w:rsidRDefault="002526FF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дошкольными образовательными учреждениями в 2021 году составит 478 </w:t>
      </w:r>
      <w:r w:rsidRPr="00D167E3">
        <w:rPr>
          <w:spacing w:val="-6"/>
          <w:lang w:eastAsia="ru-RU"/>
        </w:rPr>
        <w:t xml:space="preserve">мест на 1000 детей в возрасте </w:t>
      </w:r>
      <w:r>
        <w:rPr>
          <w:spacing w:val="-6"/>
          <w:lang w:eastAsia="ru-RU"/>
        </w:rPr>
        <w:t xml:space="preserve">от 1до </w:t>
      </w:r>
      <w:r w:rsidRPr="00D167E3">
        <w:rPr>
          <w:spacing w:val="-6"/>
          <w:lang w:eastAsia="ru-RU"/>
        </w:rPr>
        <w:t>6 лет</w:t>
      </w:r>
      <w:r>
        <w:rPr>
          <w:spacing w:val="-6"/>
          <w:lang w:eastAsia="ru-RU"/>
        </w:rPr>
        <w:t xml:space="preserve">. К концу 2027 года данный показатель увеличится на </w:t>
      </w:r>
      <w:r>
        <w:rPr>
          <w:color w:val="000000" w:themeColor="text1"/>
          <w:spacing w:val="-6"/>
          <w:lang w:eastAsia="ru-RU"/>
        </w:rPr>
        <w:t xml:space="preserve">11%  и составит 531 </w:t>
      </w:r>
      <w:r w:rsidRPr="004609FF">
        <w:rPr>
          <w:color w:val="000000" w:themeColor="text1"/>
          <w:spacing w:val="-6"/>
          <w:lang w:eastAsia="ru-RU"/>
        </w:rPr>
        <w:t>мест</w:t>
      </w:r>
      <w:r>
        <w:rPr>
          <w:color w:val="000000" w:themeColor="text1"/>
          <w:spacing w:val="-6"/>
          <w:lang w:eastAsia="ru-RU"/>
        </w:rPr>
        <w:t>о</w:t>
      </w:r>
    </w:p>
    <w:p w:rsidR="002526FF" w:rsidRDefault="002526FF" w:rsidP="002526FF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</w:t>
      </w:r>
      <w:r w:rsidRPr="006C3EC4">
        <w:rPr>
          <w:spacing w:val="-6"/>
          <w:lang w:eastAsia="ru-RU"/>
        </w:rPr>
        <w:t>больничными койками на 10 000 человек населения</w:t>
      </w:r>
      <w:r>
        <w:rPr>
          <w:spacing w:val="-6"/>
          <w:lang w:eastAsia="ru-RU"/>
        </w:rPr>
        <w:t xml:space="preserve"> в 2021 году составит  22,05 коек, к концу 2027 года данный показатель составит 20,5 мест.</w:t>
      </w:r>
    </w:p>
    <w:p w:rsidR="002526FF" w:rsidRDefault="002526FF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color w:val="000000" w:themeColor="text1"/>
          <w:spacing w:val="-6"/>
          <w:lang w:eastAsia="ru-RU"/>
        </w:rPr>
        <w:t>Обеспеченность общедоступными библиотеками в 2021 году составит 16,07 учреждений на 100 тыс. населения. К 2027 году данный показатель составит 16,51</w:t>
      </w:r>
      <w:r w:rsidRPr="002526FF">
        <w:rPr>
          <w:color w:val="000000" w:themeColor="text1"/>
          <w:spacing w:val="-6"/>
          <w:lang w:eastAsia="ru-RU"/>
        </w:rPr>
        <w:t xml:space="preserve"> </w:t>
      </w:r>
      <w:r>
        <w:rPr>
          <w:color w:val="000000" w:themeColor="text1"/>
          <w:spacing w:val="-6"/>
          <w:lang w:eastAsia="ru-RU"/>
        </w:rPr>
        <w:t xml:space="preserve">учреждений на 100 тыс. населения. 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81469E">
        <w:rPr>
          <w:spacing w:val="-6"/>
          <w:lang w:eastAsia="ru-RU"/>
        </w:rPr>
        <w:t xml:space="preserve"> в 2021</w:t>
      </w:r>
      <w:r w:rsidR="00936306">
        <w:rPr>
          <w:spacing w:val="-6"/>
          <w:lang w:eastAsia="ru-RU"/>
        </w:rPr>
        <w:t xml:space="preserve"> году составит</w:t>
      </w:r>
      <w:r w:rsidR="0081469E">
        <w:rPr>
          <w:spacing w:val="-6"/>
          <w:lang w:eastAsia="ru-RU"/>
        </w:rPr>
        <w:t xml:space="preserve"> 19,28</w:t>
      </w:r>
      <w:r>
        <w:rPr>
          <w:spacing w:val="-6"/>
          <w:lang w:eastAsia="ru-RU"/>
        </w:rPr>
        <w:t xml:space="preserve"> на </w:t>
      </w:r>
      <w:r w:rsidR="00653DE3">
        <w:rPr>
          <w:spacing w:val="-6"/>
          <w:lang w:eastAsia="ru-RU"/>
        </w:rPr>
        <w:t>100 тыс. населения. К концу 202</w:t>
      </w:r>
      <w:r w:rsidR="002526FF">
        <w:rPr>
          <w:spacing w:val="-6"/>
          <w:lang w:eastAsia="ru-RU"/>
        </w:rPr>
        <w:t>7</w:t>
      </w:r>
      <w:r>
        <w:rPr>
          <w:spacing w:val="-6"/>
          <w:lang w:eastAsia="ru-RU"/>
        </w:rPr>
        <w:t xml:space="preserve"> года данный показатель </w:t>
      </w:r>
      <w:r w:rsidR="00776272">
        <w:rPr>
          <w:spacing w:val="-6"/>
          <w:lang w:eastAsia="ru-RU"/>
        </w:rPr>
        <w:t>незначительно</w:t>
      </w:r>
      <w:r w:rsidR="002526FF">
        <w:rPr>
          <w:spacing w:val="-6"/>
          <w:lang w:eastAsia="ru-RU"/>
        </w:rPr>
        <w:t xml:space="preserve"> увеличится</w:t>
      </w:r>
      <w:r>
        <w:rPr>
          <w:spacing w:val="-6"/>
          <w:lang w:eastAsia="ru-RU"/>
        </w:rPr>
        <w:t>.</w:t>
      </w:r>
    </w:p>
    <w:p w:rsidR="002526FF" w:rsidRDefault="002526FF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Доля граждан, систематически занимающихся физической культурой и спортом, в общей численности населения составит 49,5%. К 2027 году данный показатель составит 64,0%.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</w:p>
    <w:p w:rsidR="00E20F57" w:rsidRDefault="00E20F57" w:rsidP="00E20F57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  <w:r w:rsidRPr="00E20F57">
        <w:rPr>
          <w:b/>
          <w:spacing w:val="-6"/>
          <w:lang w:eastAsia="ru-RU"/>
        </w:rPr>
        <w:t>Окружающая среда</w:t>
      </w:r>
    </w:p>
    <w:p w:rsidR="00E20F57" w:rsidRPr="00E20F57" w:rsidRDefault="00E20F57" w:rsidP="00E20F57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Количество ликвидированных несанкционированных свалок составит 43 единицы. К 2027 году ожидается снижение данного показателя на 26%. 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Высажено деревьев и кустарников в 2021 году – 390 единиц. К 2027 году данный показатель возрастет практически в 2 раза и составит 830 единиц.</w:t>
      </w:r>
    </w:p>
    <w:p w:rsidR="00AF79C8" w:rsidRDefault="00E82EC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</w:t>
      </w:r>
    </w:p>
    <w:p w:rsidR="00A47F3A" w:rsidRDefault="00A47F3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D7CA6" w:rsidRDefault="00ED7CA6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131CA" w:rsidRDefault="00E131C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sectPr w:rsidR="00E1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0256"/>
    <w:rsid w:val="00081178"/>
    <w:rsid w:val="000E0955"/>
    <w:rsid w:val="000E13BD"/>
    <w:rsid w:val="000E609E"/>
    <w:rsid w:val="00117EF1"/>
    <w:rsid w:val="00127167"/>
    <w:rsid w:val="00130946"/>
    <w:rsid w:val="001403AA"/>
    <w:rsid w:val="001668C6"/>
    <w:rsid w:val="001713BE"/>
    <w:rsid w:val="001744B6"/>
    <w:rsid w:val="00175D61"/>
    <w:rsid w:val="00182A5E"/>
    <w:rsid w:val="00193D57"/>
    <w:rsid w:val="00196AC6"/>
    <w:rsid w:val="001B1F61"/>
    <w:rsid w:val="001C2F88"/>
    <w:rsid w:val="001D49C5"/>
    <w:rsid w:val="002013FE"/>
    <w:rsid w:val="002014EF"/>
    <w:rsid w:val="00210A42"/>
    <w:rsid w:val="002526FF"/>
    <w:rsid w:val="00261CDB"/>
    <w:rsid w:val="00263CDD"/>
    <w:rsid w:val="002A2934"/>
    <w:rsid w:val="002D0F3F"/>
    <w:rsid w:val="002D2C82"/>
    <w:rsid w:val="002E1477"/>
    <w:rsid w:val="002E667E"/>
    <w:rsid w:val="002F3AF5"/>
    <w:rsid w:val="002F56E4"/>
    <w:rsid w:val="002F755C"/>
    <w:rsid w:val="0030583E"/>
    <w:rsid w:val="00307678"/>
    <w:rsid w:val="00310022"/>
    <w:rsid w:val="00312380"/>
    <w:rsid w:val="003150E4"/>
    <w:rsid w:val="00316733"/>
    <w:rsid w:val="0033106A"/>
    <w:rsid w:val="00347178"/>
    <w:rsid w:val="0036144D"/>
    <w:rsid w:val="00361528"/>
    <w:rsid w:val="003736BB"/>
    <w:rsid w:val="00375843"/>
    <w:rsid w:val="00375DB3"/>
    <w:rsid w:val="00390598"/>
    <w:rsid w:val="0039448C"/>
    <w:rsid w:val="003A5D20"/>
    <w:rsid w:val="003A6FBB"/>
    <w:rsid w:val="003C1E53"/>
    <w:rsid w:val="003C7133"/>
    <w:rsid w:val="003C7FDF"/>
    <w:rsid w:val="003F166A"/>
    <w:rsid w:val="00403522"/>
    <w:rsid w:val="00407B32"/>
    <w:rsid w:val="004313E4"/>
    <w:rsid w:val="00441186"/>
    <w:rsid w:val="004566CF"/>
    <w:rsid w:val="00497680"/>
    <w:rsid w:val="004C49AD"/>
    <w:rsid w:val="004C5664"/>
    <w:rsid w:val="004C66CA"/>
    <w:rsid w:val="004D408C"/>
    <w:rsid w:val="004D4A0C"/>
    <w:rsid w:val="004E1B5D"/>
    <w:rsid w:val="004F3934"/>
    <w:rsid w:val="00500C63"/>
    <w:rsid w:val="00505E84"/>
    <w:rsid w:val="00510DC7"/>
    <w:rsid w:val="00513F8D"/>
    <w:rsid w:val="00525406"/>
    <w:rsid w:val="00564747"/>
    <w:rsid w:val="00597202"/>
    <w:rsid w:val="0059794A"/>
    <w:rsid w:val="005C2EBA"/>
    <w:rsid w:val="005C691F"/>
    <w:rsid w:val="005D3E74"/>
    <w:rsid w:val="005D7881"/>
    <w:rsid w:val="005E38F9"/>
    <w:rsid w:val="00614629"/>
    <w:rsid w:val="00630C68"/>
    <w:rsid w:val="006439F8"/>
    <w:rsid w:val="00643ECB"/>
    <w:rsid w:val="00653DE3"/>
    <w:rsid w:val="006764C5"/>
    <w:rsid w:val="006929A6"/>
    <w:rsid w:val="006B2AA7"/>
    <w:rsid w:val="006B6DD5"/>
    <w:rsid w:val="006C0100"/>
    <w:rsid w:val="006C27B8"/>
    <w:rsid w:val="006C7338"/>
    <w:rsid w:val="006D47B7"/>
    <w:rsid w:val="00706A74"/>
    <w:rsid w:val="00720663"/>
    <w:rsid w:val="0072204C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93C47"/>
    <w:rsid w:val="007A758D"/>
    <w:rsid w:val="007B1D51"/>
    <w:rsid w:val="007C5289"/>
    <w:rsid w:val="007D2A69"/>
    <w:rsid w:val="007F6660"/>
    <w:rsid w:val="00800D42"/>
    <w:rsid w:val="008025E8"/>
    <w:rsid w:val="0081469E"/>
    <w:rsid w:val="00817866"/>
    <w:rsid w:val="0082403D"/>
    <w:rsid w:val="00825576"/>
    <w:rsid w:val="00827A3F"/>
    <w:rsid w:val="0084370D"/>
    <w:rsid w:val="00850574"/>
    <w:rsid w:val="00854E19"/>
    <w:rsid w:val="00856F6D"/>
    <w:rsid w:val="00860C3A"/>
    <w:rsid w:val="00864360"/>
    <w:rsid w:val="0089615A"/>
    <w:rsid w:val="008B400E"/>
    <w:rsid w:val="008B5D70"/>
    <w:rsid w:val="008D7CC3"/>
    <w:rsid w:val="008E492B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D302D"/>
    <w:rsid w:val="009E73CD"/>
    <w:rsid w:val="00A16E3B"/>
    <w:rsid w:val="00A4044C"/>
    <w:rsid w:val="00A47F3A"/>
    <w:rsid w:val="00A6782C"/>
    <w:rsid w:val="00A70B61"/>
    <w:rsid w:val="00A75B26"/>
    <w:rsid w:val="00A8507B"/>
    <w:rsid w:val="00A871C7"/>
    <w:rsid w:val="00AA007A"/>
    <w:rsid w:val="00AA6213"/>
    <w:rsid w:val="00AA66CC"/>
    <w:rsid w:val="00AA7D07"/>
    <w:rsid w:val="00AB2916"/>
    <w:rsid w:val="00AB4117"/>
    <w:rsid w:val="00AF79C8"/>
    <w:rsid w:val="00B03B60"/>
    <w:rsid w:val="00B2244C"/>
    <w:rsid w:val="00B273AB"/>
    <w:rsid w:val="00B35804"/>
    <w:rsid w:val="00B42B23"/>
    <w:rsid w:val="00B45B45"/>
    <w:rsid w:val="00B677E9"/>
    <w:rsid w:val="00B909D7"/>
    <w:rsid w:val="00BA15DD"/>
    <w:rsid w:val="00BA5890"/>
    <w:rsid w:val="00BB1840"/>
    <w:rsid w:val="00BC4259"/>
    <w:rsid w:val="00C20E48"/>
    <w:rsid w:val="00C40F97"/>
    <w:rsid w:val="00C43E15"/>
    <w:rsid w:val="00C64C20"/>
    <w:rsid w:val="00C808C0"/>
    <w:rsid w:val="00C94508"/>
    <w:rsid w:val="00CA3F61"/>
    <w:rsid w:val="00CA661C"/>
    <w:rsid w:val="00CB1FBB"/>
    <w:rsid w:val="00CC1048"/>
    <w:rsid w:val="00CC3E76"/>
    <w:rsid w:val="00CD259F"/>
    <w:rsid w:val="00CE0FA3"/>
    <w:rsid w:val="00CF2729"/>
    <w:rsid w:val="00D03FF5"/>
    <w:rsid w:val="00D143AF"/>
    <w:rsid w:val="00D179C3"/>
    <w:rsid w:val="00D3018B"/>
    <w:rsid w:val="00D61062"/>
    <w:rsid w:val="00D679B1"/>
    <w:rsid w:val="00D73A78"/>
    <w:rsid w:val="00D75601"/>
    <w:rsid w:val="00D76F88"/>
    <w:rsid w:val="00DB0B77"/>
    <w:rsid w:val="00DB0D13"/>
    <w:rsid w:val="00DC2D5C"/>
    <w:rsid w:val="00DD0A94"/>
    <w:rsid w:val="00DD1C97"/>
    <w:rsid w:val="00DD7A15"/>
    <w:rsid w:val="00DE6CC4"/>
    <w:rsid w:val="00E10E36"/>
    <w:rsid w:val="00E131CA"/>
    <w:rsid w:val="00E20F57"/>
    <w:rsid w:val="00E27B20"/>
    <w:rsid w:val="00E54ECA"/>
    <w:rsid w:val="00E82EC0"/>
    <w:rsid w:val="00E913E9"/>
    <w:rsid w:val="00EC379B"/>
    <w:rsid w:val="00EC7252"/>
    <w:rsid w:val="00ED628F"/>
    <w:rsid w:val="00ED6D21"/>
    <w:rsid w:val="00ED6E6B"/>
    <w:rsid w:val="00ED7CA6"/>
    <w:rsid w:val="00EF4E9D"/>
    <w:rsid w:val="00F1108B"/>
    <w:rsid w:val="00F22E68"/>
    <w:rsid w:val="00F3346B"/>
    <w:rsid w:val="00F70644"/>
    <w:rsid w:val="00F7183A"/>
    <w:rsid w:val="00F73DEA"/>
    <w:rsid w:val="00F86E40"/>
    <w:rsid w:val="00F86E6C"/>
    <w:rsid w:val="00FA432F"/>
    <w:rsid w:val="00FA5ABD"/>
    <w:rsid w:val="00FB19F0"/>
    <w:rsid w:val="00FD3F90"/>
    <w:rsid w:val="00FD6714"/>
    <w:rsid w:val="00FE2560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7C72-3B79-4A74-9386-347BEC8B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78</cp:revision>
  <cp:lastPrinted>2020-09-30T07:43:00Z</cp:lastPrinted>
  <dcterms:created xsi:type="dcterms:W3CDTF">2017-07-05T10:18:00Z</dcterms:created>
  <dcterms:modified xsi:type="dcterms:W3CDTF">2021-12-21T08:00:00Z</dcterms:modified>
</cp:coreProperties>
</file>