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8C" w:rsidRDefault="00FF198C" w:rsidP="00FF198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FF198C" w:rsidRPr="00FF198C" w:rsidRDefault="00FF198C" w:rsidP="00FF198C">
      <w:pPr>
        <w:autoSpaceDE w:val="0"/>
        <w:autoSpaceDN w:val="0"/>
        <w:adjustRightInd w:val="0"/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</w:p>
    <w:p w:rsidR="00FF198C" w:rsidRDefault="00FF198C" w:rsidP="00FF1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198C" w:rsidRDefault="00FF198C" w:rsidP="00FF1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198C" w:rsidRDefault="00FF198C" w:rsidP="00FF1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198C" w:rsidRPr="00FF198C" w:rsidRDefault="00FF198C" w:rsidP="00DF69F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>ПОКАЗАТЕЛИ</w:t>
      </w:r>
    </w:p>
    <w:p w:rsidR="00FF198C" w:rsidRPr="00FF198C" w:rsidRDefault="00FF198C" w:rsidP="00DF69F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198C" w:rsidRDefault="00FF198C" w:rsidP="00DF69F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>размера вреда, причиняемого тяжеловесными транспортными средствами при движении по автомобильным дорогам общего пользования местного значения Шпаковского муниципального округа</w:t>
      </w:r>
      <w:r w:rsidR="007E53A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7E53A5" w:rsidRDefault="007E53A5" w:rsidP="00FF1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1. Размер вреда, причиняемого тяжеловесными транспортными средствами при движении </w:t>
      </w:r>
      <w:bookmarkStart w:id="0" w:name="_Hlk95318034"/>
      <w:r w:rsidR="007E53A5">
        <w:rPr>
          <w:rFonts w:ascii="Times New Roman" w:hAnsi="Times New Roman" w:cs="Times New Roman"/>
          <w:sz w:val="28"/>
          <w:szCs w:val="28"/>
        </w:rPr>
        <w:t xml:space="preserve">таких транспортных средств </w:t>
      </w:r>
      <w:r w:rsidRPr="00FF198C">
        <w:rPr>
          <w:rFonts w:ascii="Times New Roman" w:hAnsi="Times New Roman" w:cs="Times New Roman"/>
          <w:sz w:val="28"/>
          <w:szCs w:val="28"/>
        </w:rPr>
        <w:t xml:space="preserve">по автомобильным дорогам общего пользования </w:t>
      </w:r>
      <w:r w:rsidR="00DA359A" w:rsidRPr="00DA359A">
        <w:rPr>
          <w:rFonts w:ascii="Times New Roman" w:hAnsi="Times New Roman" w:cs="Times New Roman"/>
          <w:sz w:val="28"/>
          <w:szCs w:val="28"/>
        </w:rPr>
        <w:t>местного значения Шпаковского муниципального округа</w:t>
      </w:r>
      <w:r w:rsidRPr="00FF198C">
        <w:rPr>
          <w:rFonts w:ascii="Times New Roman" w:hAnsi="Times New Roman" w:cs="Times New Roman"/>
          <w:sz w:val="28"/>
          <w:szCs w:val="28"/>
        </w:rPr>
        <w:t xml:space="preserve"> Ставропольско</w:t>
      </w:r>
      <w:r w:rsidR="007E53A5">
        <w:rPr>
          <w:rFonts w:ascii="Times New Roman" w:hAnsi="Times New Roman" w:cs="Times New Roman"/>
          <w:sz w:val="28"/>
          <w:szCs w:val="28"/>
        </w:rPr>
        <w:t>го</w:t>
      </w:r>
      <w:r w:rsidRPr="00FF198C">
        <w:rPr>
          <w:rFonts w:ascii="Times New Roman" w:hAnsi="Times New Roman" w:cs="Times New Roman"/>
          <w:sz w:val="28"/>
          <w:szCs w:val="28"/>
        </w:rPr>
        <w:t xml:space="preserve"> кра</w:t>
      </w:r>
      <w:r w:rsidR="007E53A5">
        <w:rPr>
          <w:rFonts w:ascii="Times New Roman" w:hAnsi="Times New Roman" w:cs="Times New Roman"/>
          <w:sz w:val="28"/>
          <w:szCs w:val="28"/>
        </w:rPr>
        <w:t>я</w:t>
      </w:r>
      <w:bookmarkEnd w:id="0"/>
      <w:r w:rsidRPr="00FF198C">
        <w:rPr>
          <w:rFonts w:ascii="Times New Roman" w:hAnsi="Times New Roman" w:cs="Times New Roman"/>
          <w:sz w:val="28"/>
          <w:szCs w:val="28"/>
        </w:rPr>
        <w:t>, рассчитанным под осевую нагрузку 10 т, от превышения допустимых нагрузок на</w:t>
      </w:r>
      <w:r w:rsidR="00343796">
        <w:rPr>
          <w:rFonts w:ascii="Times New Roman" w:hAnsi="Times New Roman" w:cs="Times New Roman"/>
          <w:sz w:val="28"/>
          <w:szCs w:val="28"/>
        </w:rPr>
        <w:t xml:space="preserve"> каждую</w:t>
      </w:r>
      <w:r w:rsidRPr="00FF198C">
        <w:rPr>
          <w:rFonts w:ascii="Times New Roman" w:hAnsi="Times New Roman" w:cs="Times New Roman"/>
          <w:sz w:val="28"/>
          <w:szCs w:val="28"/>
        </w:rPr>
        <w:t xml:space="preserve"> ось транспортного средства:</w:t>
      </w:r>
    </w:p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FF198C" w:rsidRPr="00FF198C" w:rsidTr="00795F15">
        <w:tc>
          <w:tcPr>
            <w:tcW w:w="5240" w:type="dxa"/>
            <w:vAlign w:val="center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Превышение фактических нагрузок на каждую ось транспортного средства над допустимыми (процентов)</w:t>
            </w:r>
          </w:p>
        </w:tc>
        <w:tc>
          <w:tcPr>
            <w:tcW w:w="4394" w:type="dxa"/>
            <w:vAlign w:val="center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Размер вреда (рублей на 100 километров)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свыше 2 до 3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 (включительно) до 4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 (включительно) до 5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 (включительно) до 6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6 (включительно) до 7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7 (включительно) до 8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8 (включительно) до 9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1078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9 (включительно) до 10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10 (включительно) до 11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11 (включительно) до 12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1216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12 (включительно) до 13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1271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13 (включительно) до 14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1330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14 (включительно) до 15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1393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15 (включительно) до 16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1461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16 (включительно) до 17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17 (включительно) до 18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1609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18 (включительно) до 19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1690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19 (включительно) до 20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1775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20 (включительно) до 21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21 (включительно) до 22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22 (включительно) до 23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2054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23 (включительно) до 24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2156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24 (включительно) до 25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2261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25 (включительно) до 26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2371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26 (включительно) до 27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2485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27 (включительно) до 28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2603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28 (включительно) до 29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2725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29 (включительно) до 30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2851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30 (включительно) до 31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2982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31 (включительно) до 32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3116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32 (включительно) до 33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3254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33 (включительно) до 34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3397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34 (включительно) до 35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3543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35 (включительно) до 36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36 (включительно) до 37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3848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37 (включительно) до 38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4006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38 (включительно) до 39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4169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39 (включительно) до 40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4335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40 (включительно) до 41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4505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41 (включительно) до 42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4680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42 (включительно) до 43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4858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43 (включительно) до 44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5040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44 (включительно) до 45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5226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45 (включительно) до 46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5416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46 (включительно) до 47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5610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47 (включительно) до 48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5808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48 (включительно) до 49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6010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49 (включительно) до 50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6216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50 (включительно) до 51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6426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51 (включительно) до 52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6639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52 (включительно) до 53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6856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53 (включительно) до 54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7078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54 (включительно) до 55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7303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55 (включительно) до 56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7532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56 (включительно) до 57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7765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57 (включительно) до 58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8002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58 (включительно) до 59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8242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59 (включительно) до 60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8487</w:t>
            </w:r>
          </w:p>
        </w:tc>
      </w:tr>
      <w:tr w:rsidR="00FF198C" w:rsidRPr="00FF198C" w:rsidTr="00795F15">
        <w:tc>
          <w:tcPr>
            <w:tcW w:w="5240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4394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расчету </w:t>
            </w:r>
            <w:hyperlink w:anchor="Par390" w:history="1">
              <w:r w:rsidRPr="00FF198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</w:tbl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2. Размер вреда, причиняемого тяжеловесными транспортными средствами при движении </w:t>
      </w:r>
      <w:r w:rsidR="00343796" w:rsidRPr="00343796">
        <w:rPr>
          <w:rFonts w:ascii="Times New Roman" w:hAnsi="Times New Roman" w:cs="Times New Roman"/>
          <w:sz w:val="28"/>
          <w:szCs w:val="28"/>
        </w:rPr>
        <w:t xml:space="preserve">таких транспортных средств </w:t>
      </w:r>
      <w:bookmarkStart w:id="1" w:name="_Hlk95318130"/>
      <w:r w:rsidR="00343796" w:rsidRPr="00343796"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 значения Шпаковского муниципального округа Ставропольского края</w:t>
      </w:r>
      <w:bookmarkEnd w:id="1"/>
      <w:r w:rsidRPr="00FF198C">
        <w:rPr>
          <w:rFonts w:ascii="Times New Roman" w:hAnsi="Times New Roman" w:cs="Times New Roman"/>
          <w:sz w:val="28"/>
          <w:szCs w:val="28"/>
        </w:rPr>
        <w:t>, рассчитанным под осевую нагрузку 11,5 т, от превышения допустимых осевых нагрузок на ось транспортного средства:</w:t>
      </w:r>
    </w:p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81"/>
      </w:tblGrid>
      <w:tr w:rsidR="00FF198C" w:rsidRPr="00FF198C" w:rsidTr="00795F15">
        <w:tc>
          <w:tcPr>
            <w:tcW w:w="5245" w:type="dxa"/>
            <w:vAlign w:val="center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Превышение фактических нагрузок на ось транспортного средства над допустимыми (процентов)</w:t>
            </w:r>
          </w:p>
        </w:tc>
        <w:tc>
          <w:tcPr>
            <w:tcW w:w="4381" w:type="dxa"/>
            <w:vAlign w:val="center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Размер вреда (рублей на 100 километров)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свыше 2 до 3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 (включительно) до 4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 (включительно) до 5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 (включительно) до 6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6 (включительно) до 7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7 (включительно) до 8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8 (включительно) до 9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9 (включительно) до 10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10 (включительно) до 11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11 (включительно) до 12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12 (включительно) до 13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13 (включительно) до 14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14 (включительно) до 15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15 (включительно) до 16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16 (включительно) до 17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17 (включительно) до 18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18 (включительно) до 19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19 (включительно) до 20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20 (включительно) до 21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21 (включительно) до 22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22 (включительно) до 23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23 (включительно) до 24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24 (включительно) до 25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25 (включительно) до 26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26 (включительно) до 27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27 (включительно) до 28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28 (включительно) до 29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29 (включительно) до 30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30 (включительно) до 31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31 (включительно) до 32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32 (включительно) до 33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1167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33 (включительно) до 34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34 (включительно) до 35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1259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35 (включительно) до 36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1307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36 (включительно) до 37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1357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37 (включительно) до 38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38 (включительно) до 39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39 (включительно) до 40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40 (включительно) до 41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1567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41 (включительно) до 42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1623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42 (включительно) до 43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1680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43 (включительно) до 44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1739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44 (включительно) до 45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1798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45 (включительно) до 46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46 (включительно) до 47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47 (включительно) до 48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48 (включительно) до 49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2049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49 (включительно) до 50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2115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50 (включительно) до 51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2182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51 (включительно) до 52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2251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52 (включительно) до 53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53 (включительно) до 54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2391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54 (включительно) до 55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2463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55 (включительно) до 56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2537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56 (включительно) до 57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2611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57 (включительно) до 58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2687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58 (включительно) до 59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2764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59 (включительно) до 60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2842</w:t>
            </w:r>
          </w:p>
        </w:tc>
      </w:tr>
      <w:tr w:rsidR="00FF198C" w:rsidRPr="00FF198C" w:rsidTr="00795F15">
        <w:tc>
          <w:tcPr>
            <w:tcW w:w="5245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4381" w:type="dxa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расчету </w:t>
            </w:r>
            <w:hyperlink w:anchor="Par390" w:history="1">
              <w:r w:rsidRPr="00FF198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</w:tbl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3. Размер вреда, причиняемого тяжеловесными транспортными средствами при движении </w:t>
      </w:r>
      <w:r w:rsidR="00343796">
        <w:rPr>
          <w:rFonts w:ascii="Times New Roman" w:hAnsi="Times New Roman" w:cs="Times New Roman"/>
          <w:sz w:val="28"/>
          <w:szCs w:val="28"/>
        </w:rPr>
        <w:t xml:space="preserve">таких транспортных средств </w:t>
      </w:r>
      <w:r w:rsidR="00343796" w:rsidRPr="00343796"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 значения Шпаковского муниципального округа Ставропольского края</w:t>
      </w:r>
      <w:r w:rsidR="00343796">
        <w:rPr>
          <w:rFonts w:ascii="Times New Roman" w:hAnsi="Times New Roman" w:cs="Times New Roman"/>
          <w:sz w:val="28"/>
          <w:szCs w:val="28"/>
        </w:rPr>
        <w:t>,</w:t>
      </w:r>
      <w:r w:rsidRPr="00FF198C">
        <w:rPr>
          <w:rFonts w:ascii="Times New Roman" w:hAnsi="Times New Roman" w:cs="Times New Roman"/>
          <w:sz w:val="28"/>
          <w:szCs w:val="28"/>
        </w:rPr>
        <w:t xml:space="preserve"> от превышения допустимой для автомобильной дороги массы транспортного средства:</w:t>
      </w:r>
    </w:p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9"/>
        <w:gridCol w:w="4353"/>
      </w:tblGrid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Превышение фактической массы транспортного средства над допустимой (процентов)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Размер вреда (рублей на 100 километров)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свыше 2 до 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4347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 (включительно) до 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4418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 (включительно) до 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4488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 (включительно) до 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4559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6 (включительно) до 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4629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7 (включительно) до 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8 (включительно) до 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4770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9 (включительно) до 10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4841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10 (включительно) до 11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4911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11 (включительно) до 12</w:t>
            </w:r>
            <w:bookmarkStart w:id="2" w:name="_GoBack"/>
            <w:bookmarkEnd w:id="2"/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4982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12 (включительно) до 13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5052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13 (включительно) до 14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5122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14 (включительно) до 15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5193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15 (включительно) до 16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5263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16 (включительно) до 17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5334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17 (включительно) до 18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5404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18 (включительно) до 19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5475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19 (включительно) до 20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5545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20 (включительно) до 21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5616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21 (включительно) до 22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5686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22 (включительно) до 23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5757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23 (включительно) до 24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5827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24 (включительно) до 25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5898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25 (включительно) до 26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5968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26 (включительно) до 27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6038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27 (включительно) до 28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6109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28 (включительно) до 29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6179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29 (включительно) до 30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30 (включительно) до 31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6320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31 (включительно) до 32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6391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32 (включительно) до 33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6461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33 (включительно) до 34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6532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34 (включительно) до 35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6602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35 (включительно) до 36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6673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36 (включительно) до 37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6743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37 (включительно) до 38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6814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38 (включительно) до 39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6884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39 (включительно) до 40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6955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40 (включительно) до 41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7025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41 (включительно) до 42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7095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42 (включительно) до 43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7166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43 (включительно) до 44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7236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44 (включительно) до 45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7307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45 (включительно) до 46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7377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46 (включительно) до 47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7448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47 (включительно) до 48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7518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48 (включительно) до 49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7589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49 (включительно) до 50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7659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50 (включительно) до 51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7730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51 (включительно) до 52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7800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52 (включительно) до 53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7871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53 (включительно) до 54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7941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54 (включительно) до 55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8012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55 (включительно) до 56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8082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56 (включительно) до 57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8152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57 (включительно) до 58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8223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58 (включительно) до 59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8293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59 (включительно) до 60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8364</w:t>
            </w:r>
          </w:p>
        </w:tc>
      </w:tr>
      <w:tr w:rsidR="00FF198C" w:rsidRPr="00FF198C" w:rsidTr="00795F1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8C" w:rsidRPr="00FF198C" w:rsidRDefault="00FF198C" w:rsidP="009D473F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198C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расчету </w:t>
            </w:r>
            <w:hyperlink w:anchor="Par390" w:history="1">
              <w:r w:rsidRPr="00FF198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</w:tbl>
    <w:p w:rsidR="00FF198C" w:rsidRPr="00FF198C" w:rsidRDefault="00FF198C" w:rsidP="00FF1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198C" w:rsidRPr="00FF198C" w:rsidRDefault="00FF198C" w:rsidP="00FF198C">
      <w:pPr>
        <w:autoSpaceDE w:val="0"/>
        <w:autoSpaceDN w:val="0"/>
        <w:adjustRightInd w:val="0"/>
        <w:spacing w:before="240" w:after="0" w:line="240" w:lineRule="exact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390"/>
      <w:bookmarkEnd w:id="3"/>
      <w:r w:rsidRPr="00FF198C">
        <w:rPr>
          <w:rFonts w:ascii="Times New Roman" w:hAnsi="Times New Roman" w:cs="Times New Roman"/>
          <w:sz w:val="20"/>
          <w:szCs w:val="20"/>
        </w:rPr>
        <w:t xml:space="preserve">&lt;*&gt; Размер вреда рассчитывается по формулам, приведенным в </w:t>
      </w:r>
      <w:hyperlink r:id="rId6" w:history="1">
        <w:r w:rsidRPr="00FF198C">
          <w:rPr>
            <w:rFonts w:ascii="Times New Roman" w:hAnsi="Times New Roman" w:cs="Times New Roman"/>
            <w:sz w:val="20"/>
            <w:szCs w:val="20"/>
          </w:rPr>
          <w:t>методике</w:t>
        </w:r>
      </w:hyperlink>
      <w:r w:rsidRPr="00FF198C">
        <w:rPr>
          <w:rFonts w:ascii="Times New Roman" w:hAnsi="Times New Roman" w:cs="Times New Roman"/>
          <w:sz w:val="20"/>
          <w:szCs w:val="20"/>
        </w:rPr>
        <w:t xml:space="preserve"> расчета размера вреда, причиняемого тяжеловесными транспортными средствами, являющейся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 января 2020 г. N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Федерации".</w:t>
      </w:r>
    </w:p>
    <w:p w:rsidR="00FF198C" w:rsidRDefault="00FF198C" w:rsidP="00343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96" w:rsidRDefault="00343796" w:rsidP="00343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96" w:rsidRDefault="00343796" w:rsidP="00343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96" w:rsidRDefault="00343796" w:rsidP="0034379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343796" w:rsidRPr="00FF198C" w:rsidRDefault="00343796" w:rsidP="0034379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Е.В. Семенова</w:t>
      </w:r>
    </w:p>
    <w:sectPr w:rsidR="00343796" w:rsidRPr="00FF198C" w:rsidSect="009D473F">
      <w:headerReference w:type="default" r:id="rId7"/>
      <w:pgSz w:w="11905" w:h="16838"/>
      <w:pgMar w:top="993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264" w:rsidRDefault="00FF3264" w:rsidP="009D473F">
      <w:pPr>
        <w:spacing w:after="0" w:line="240" w:lineRule="auto"/>
      </w:pPr>
      <w:r>
        <w:separator/>
      </w:r>
    </w:p>
  </w:endnote>
  <w:endnote w:type="continuationSeparator" w:id="0">
    <w:p w:rsidR="00FF3264" w:rsidRDefault="00FF3264" w:rsidP="009D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264" w:rsidRDefault="00FF3264" w:rsidP="009D473F">
      <w:pPr>
        <w:spacing w:after="0" w:line="240" w:lineRule="auto"/>
      </w:pPr>
      <w:r>
        <w:separator/>
      </w:r>
    </w:p>
  </w:footnote>
  <w:footnote w:type="continuationSeparator" w:id="0">
    <w:p w:rsidR="00FF3264" w:rsidRDefault="00FF3264" w:rsidP="009D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9F4" w:rsidRDefault="00DF69F4">
    <w:pPr>
      <w:pStyle w:val="a3"/>
      <w:jc w:val="center"/>
    </w:pPr>
  </w:p>
  <w:sdt>
    <w:sdtPr>
      <w:id w:val="156731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73F" w:rsidRPr="009D473F" w:rsidRDefault="009D473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47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47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47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D473F">
          <w:rPr>
            <w:rFonts w:ascii="Times New Roman" w:hAnsi="Times New Roman" w:cs="Times New Roman"/>
            <w:sz w:val="28"/>
            <w:szCs w:val="28"/>
          </w:rPr>
          <w:t>2</w:t>
        </w:r>
        <w:r w:rsidRPr="009D47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473F" w:rsidRDefault="009D47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8C"/>
    <w:rsid w:val="00343796"/>
    <w:rsid w:val="00795F15"/>
    <w:rsid w:val="007E53A5"/>
    <w:rsid w:val="009663CD"/>
    <w:rsid w:val="009D473F"/>
    <w:rsid w:val="00DA359A"/>
    <w:rsid w:val="00DF69F4"/>
    <w:rsid w:val="00FD6953"/>
    <w:rsid w:val="00FF198C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E4777-7A4D-4D8F-B035-9D2D739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73F"/>
  </w:style>
  <w:style w:type="paragraph" w:styleId="a5">
    <w:name w:val="footer"/>
    <w:basedOn w:val="a"/>
    <w:link w:val="a6"/>
    <w:uiPriority w:val="99"/>
    <w:unhideWhenUsed/>
    <w:rsid w:val="009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AC74E89A8E6E6D1088B6D054A9843DAAA3F75A8266FD64DEBE59A1B7BB8317F200C0B9FD138DE4461285F13C5E991C9AA012E552E7085O6e0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2022-02-09T14:06:00Z</cp:lastPrinted>
  <dcterms:created xsi:type="dcterms:W3CDTF">2022-02-09T13:30:00Z</dcterms:created>
  <dcterms:modified xsi:type="dcterms:W3CDTF">2022-02-14T11:29:00Z</dcterms:modified>
</cp:coreProperties>
</file>