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2F3A3841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05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54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</w:t>
      </w:r>
      <w:r w:rsidR="00AA5019">
        <w:rPr>
          <w:rFonts w:ascii="Times New Roman" w:hAnsi="Times New Roman" w:cs="Times New Roman"/>
          <w:sz w:val="28"/>
          <w:szCs w:val="28"/>
        </w:rPr>
        <w:t>8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92C8A0B" w14:textId="77777777" w:rsidR="00AA5019" w:rsidRPr="00AA5019" w:rsidRDefault="00AA5019" w:rsidP="00AA5019">
      <w:pPr>
        <w:widowControl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0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края.</w:t>
      </w:r>
    </w:p>
    <w:p w14:paraId="65B03404" w14:textId="77777777" w:rsidR="007E6D7C" w:rsidRPr="00DC4AFD" w:rsidRDefault="007E6D7C" w:rsidP="004D2DA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AF8F9" w14:textId="68AC6C65" w:rsidR="00FD5A77" w:rsidRDefault="00F84530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019" w:rsidRPr="00AA5019">
        <w:rPr>
          <w:rFonts w:ascii="Times New Roman" w:hAnsi="Times New Roman" w:cs="Times New Roman"/>
          <w:sz w:val="28"/>
          <w:szCs w:val="28"/>
        </w:rPr>
        <w:t>Информацию о выполнении в Шпаковском муниципальном округе Плана основных мероприятий по реализации в 2024-2026 годах основ государственной политики по сохранению и укреплению традиционных российских духовно-нравственных ценностей в Ставропольском крае, утвержденным Губернатором Ставропольского края принять к сведению.</w:t>
      </w:r>
    </w:p>
    <w:p w14:paraId="5E9E0F94" w14:textId="77777777" w:rsidR="00165F35" w:rsidRDefault="00165F35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83A41"/>
    <w:rsid w:val="000B674E"/>
    <w:rsid w:val="000C232E"/>
    <w:rsid w:val="000D3D24"/>
    <w:rsid w:val="000E1822"/>
    <w:rsid w:val="0010660C"/>
    <w:rsid w:val="00117F6F"/>
    <w:rsid w:val="00165F35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776F0"/>
    <w:rsid w:val="00496B20"/>
    <w:rsid w:val="004D2DAF"/>
    <w:rsid w:val="00534F97"/>
    <w:rsid w:val="0055680A"/>
    <w:rsid w:val="00560392"/>
    <w:rsid w:val="00572AA4"/>
    <w:rsid w:val="00593645"/>
    <w:rsid w:val="005A25AF"/>
    <w:rsid w:val="005C054D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A5019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562F3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2025-12-29T08:06:00Z</dcterms:created>
  <dcterms:modified xsi:type="dcterms:W3CDTF">2025-12-29T08:06:00Z</dcterms:modified>
</cp:coreProperties>
</file>